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48E07" w14:textId="77777777" w:rsidR="00604FDE" w:rsidRDefault="00604FDE" w:rsidP="00404656">
      <w:pPr>
        <w:rPr>
          <w:b/>
          <w:bCs/>
        </w:rPr>
      </w:pPr>
    </w:p>
    <w:p w14:paraId="4397BF1B" w14:textId="23BDD582" w:rsidR="00604FDE" w:rsidRPr="00604FDE" w:rsidRDefault="00604FDE" w:rsidP="00604FDE">
      <w:pPr>
        <w:jc w:val="center"/>
        <w:rPr>
          <w:b/>
          <w:bCs/>
          <w:sz w:val="32"/>
          <w:szCs w:val="32"/>
          <w:u w:val="single"/>
        </w:rPr>
      </w:pPr>
      <w:r w:rsidRPr="00604FDE">
        <w:rPr>
          <w:b/>
          <w:bCs/>
          <w:sz w:val="32"/>
          <w:szCs w:val="32"/>
          <w:u w:val="single"/>
        </w:rPr>
        <w:t xml:space="preserve">Sickness </w:t>
      </w:r>
      <w:r w:rsidR="004C43A6">
        <w:rPr>
          <w:b/>
          <w:bCs/>
          <w:sz w:val="32"/>
          <w:szCs w:val="32"/>
          <w:u w:val="single"/>
        </w:rPr>
        <w:t>P</w:t>
      </w:r>
      <w:r w:rsidRPr="00604FDE">
        <w:rPr>
          <w:b/>
          <w:bCs/>
          <w:sz w:val="32"/>
          <w:szCs w:val="32"/>
          <w:u w:val="single"/>
        </w:rPr>
        <w:t>olicy</w:t>
      </w:r>
    </w:p>
    <w:p w14:paraId="0B5B11E8" w14:textId="77777777" w:rsidR="00604FDE" w:rsidRDefault="00604FDE" w:rsidP="00404656">
      <w:pPr>
        <w:rPr>
          <w:b/>
          <w:bCs/>
        </w:rPr>
      </w:pPr>
    </w:p>
    <w:p w14:paraId="4FEF7144" w14:textId="2F8B3ACA" w:rsidR="00404656" w:rsidRPr="00404656" w:rsidRDefault="00404656" w:rsidP="00404656">
      <w:r w:rsidRPr="00404656">
        <w:rPr>
          <w:b/>
          <w:bCs/>
        </w:rPr>
        <w:t>Aim</w:t>
      </w:r>
    </w:p>
    <w:p w14:paraId="2FD91166" w14:textId="77777777" w:rsidR="00404656" w:rsidRPr="00404656" w:rsidRDefault="00404656" w:rsidP="00404656">
      <w:r w:rsidRPr="00404656">
        <w:t>At Chalke Valley Play School, we are committed to promoting the health and wellbeing of every child in our care. We take proactive steps to prevent the spread of infection and ensure that appropriate action is taken when a child becomes unwell.</w:t>
      </w:r>
    </w:p>
    <w:p w14:paraId="357D4BC6" w14:textId="77777777" w:rsidR="00404656" w:rsidRPr="00404656" w:rsidRDefault="00404656" w:rsidP="00404656">
      <w:r w:rsidRPr="00404656">
        <w:t>Our goal is to ensure that children with medical needs receive the necessary support and proper care. We also aim to provide clarity regarding the roles and responsibilities of both the setting and parents in managing each child’s medical needs.</w:t>
      </w:r>
    </w:p>
    <w:p w14:paraId="22D0BCFA" w14:textId="77777777" w:rsidR="00404656" w:rsidRPr="00404656" w:rsidRDefault="00404656" w:rsidP="00404656">
      <w:r w:rsidRPr="00404656">
        <w:rPr>
          <w:b/>
          <w:bCs/>
        </w:rPr>
        <w:t>Method</w:t>
      </w:r>
    </w:p>
    <w:p w14:paraId="3CEE98B0" w14:textId="272322AD" w:rsidR="00404656" w:rsidRPr="00404656" w:rsidRDefault="00404656" w:rsidP="00404656">
      <w:r w:rsidRPr="00404656">
        <w:t xml:space="preserve">For a child to fully benefit from their time at Chalke Valley Play School and thrive in a healthy environment, they must be well enough to attend. We ask that parents do not bring their child to school if they are unwell. This includes, but is not limited to, symptoms such as a cough or cold, flu, fever, earache, sickness, </w:t>
      </w:r>
      <w:r w:rsidR="003425F7" w:rsidRPr="00404656">
        <w:t>diarrhoea</w:t>
      </w:r>
      <w:r w:rsidRPr="00404656">
        <w:t>, sore throat, or lethargy.</w:t>
      </w:r>
    </w:p>
    <w:p w14:paraId="1C9FF878" w14:textId="77777777" w:rsidR="00404656" w:rsidRDefault="00404656" w:rsidP="00404656">
      <w:pPr>
        <w:autoSpaceDE w:val="0"/>
        <w:autoSpaceDN w:val="0"/>
        <w:adjustRightInd w:val="0"/>
        <w:spacing w:after="0" w:line="240" w:lineRule="auto"/>
        <w:rPr>
          <w:rFonts w:ascii="Comic Sans MS" w:hAnsi="Comic Sans MS" w:cs="TimesNewRomanPSMT"/>
          <w:color w:val="000000"/>
        </w:rPr>
      </w:pPr>
      <w:r w:rsidRPr="00404656">
        <w:t>If your child is unwell prior to attending school, we kindly request that parents contact us by phone or email as soon as possible. This is important as the child may have an infectious condition, and we will need to inform other parents and carers. Children cannot return to school until they are no longer infectious to prevent the spread of illness.</w:t>
      </w:r>
      <w:r w:rsidRPr="00404656">
        <w:rPr>
          <w:rFonts w:ascii="Comic Sans MS" w:hAnsi="Comic Sans MS" w:cs="TimesNewRomanPSMT"/>
          <w:color w:val="000000"/>
        </w:rPr>
        <w:t xml:space="preserve"> </w:t>
      </w:r>
    </w:p>
    <w:p w14:paraId="7400C57F" w14:textId="36E8DAD6" w:rsidR="00404656" w:rsidRDefault="00404656" w:rsidP="00404656">
      <w:pPr>
        <w:autoSpaceDE w:val="0"/>
        <w:autoSpaceDN w:val="0"/>
        <w:adjustRightInd w:val="0"/>
        <w:spacing w:after="0" w:line="240" w:lineRule="auto"/>
        <w:rPr>
          <w:rFonts w:asciiTheme="majorHAnsi" w:hAnsiTheme="majorHAnsi" w:cs="TimesNewRomanPSMT"/>
          <w:color w:val="000000"/>
        </w:rPr>
      </w:pPr>
      <w:r w:rsidRPr="00404656">
        <w:rPr>
          <w:rFonts w:asciiTheme="majorHAnsi" w:hAnsiTheme="majorHAnsi" w:cs="TimesNewRomanPSMT"/>
          <w:color w:val="000000"/>
        </w:rPr>
        <w:t xml:space="preserve">It is our policy that parents are </w:t>
      </w:r>
      <w:r w:rsidRPr="00404656">
        <w:rPr>
          <w:rFonts w:asciiTheme="majorHAnsi" w:hAnsiTheme="majorHAnsi" w:cs="TimesNewRomanPSMT"/>
          <w:b/>
          <w:bCs/>
          <w:color w:val="000000"/>
        </w:rPr>
        <w:t>not</w:t>
      </w:r>
      <w:r w:rsidRPr="00404656">
        <w:rPr>
          <w:rFonts w:asciiTheme="majorHAnsi" w:hAnsiTheme="majorHAnsi" w:cs="TimesNewRomanPSMT"/>
          <w:color w:val="000000"/>
        </w:rPr>
        <w:t xml:space="preserve"> allowed to bring into Playschool any child who has been vomiting or suffered from diarrhoea until at least </w:t>
      </w:r>
      <w:r w:rsidRPr="00404656">
        <w:rPr>
          <w:rFonts w:asciiTheme="majorHAnsi" w:hAnsiTheme="majorHAnsi" w:cs="TimesNewRomanPSMT"/>
          <w:b/>
          <w:bCs/>
          <w:color w:val="000000"/>
        </w:rPr>
        <w:t>48 hours</w:t>
      </w:r>
      <w:r w:rsidRPr="00404656">
        <w:rPr>
          <w:rFonts w:asciiTheme="majorHAnsi" w:hAnsiTheme="majorHAnsi" w:cs="TimesNewRomanPSMT"/>
          <w:color w:val="000000"/>
        </w:rPr>
        <w:t xml:space="preserve"> has elapsed since the last attack (or since a formed stool is passed). </w:t>
      </w:r>
    </w:p>
    <w:p w14:paraId="4F8C20C7" w14:textId="3C51D817" w:rsidR="00404656" w:rsidRDefault="00404656" w:rsidP="00404656">
      <w:pPr>
        <w:autoSpaceDE w:val="0"/>
        <w:autoSpaceDN w:val="0"/>
        <w:adjustRightInd w:val="0"/>
        <w:spacing w:after="0" w:line="240" w:lineRule="auto"/>
        <w:rPr>
          <w:rFonts w:asciiTheme="majorHAnsi" w:hAnsiTheme="majorHAnsi" w:cs="TimesNewRomanPSMT"/>
          <w:color w:val="000000"/>
        </w:rPr>
      </w:pPr>
      <w:r w:rsidRPr="00404656">
        <w:rPr>
          <w:rFonts w:asciiTheme="majorHAnsi" w:hAnsiTheme="majorHAnsi" w:cs="TimesNewRomanPSMT"/>
          <w:color w:val="000000"/>
        </w:rPr>
        <w:t xml:space="preserve">Children should </w:t>
      </w:r>
      <w:r w:rsidRPr="00404656">
        <w:rPr>
          <w:rFonts w:asciiTheme="majorHAnsi" w:hAnsiTheme="majorHAnsi" w:cs="TimesNewRomanPSMT"/>
          <w:b/>
          <w:bCs/>
          <w:color w:val="000000"/>
        </w:rPr>
        <w:t>not</w:t>
      </w:r>
      <w:r w:rsidRPr="00404656">
        <w:rPr>
          <w:rFonts w:asciiTheme="majorHAnsi" w:hAnsiTheme="majorHAnsi" w:cs="TimesNewRomanPSMT"/>
          <w:color w:val="000000"/>
        </w:rPr>
        <w:t xml:space="preserve"> attend the setting if they require Calpol or any other medication to regulate their temperature. To help prevent the spread of illness, we ask that children be free from Calpol (or similar medications) for at least </w:t>
      </w:r>
      <w:r w:rsidRPr="00404656">
        <w:rPr>
          <w:rFonts w:asciiTheme="majorHAnsi" w:hAnsiTheme="majorHAnsi" w:cs="TimesNewRomanPSMT"/>
          <w:b/>
          <w:bCs/>
          <w:color w:val="000000"/>
        </w:rPr>
        <w:t>8 hours</w:t>
      </w:r>
      <w:r w:rsidRPr="00404656">
        <w:rPr>
          <w:rFonts w:asciiTheme="majorHAnsi" w:hAnsiTheme="majorHAnsi" w:cs="TimesNewRomanPSMT"/>
          <w:color w:val="000000"/>
        </w:rPr>
        <w:t xml:space="preserve"> before returning to the setting. This ensures they are well enough to participate in activities and helps maintain a healthy environment for all children.</w:t>
      </w:r>
    </w:p>
    <w:p w14:paraId="3D320C95" w14:textId="77777777" w:rsidR="003425F7" w:rsidRDefault="003425F7" w:rsidP="00404656">
      <w:pPr>
        <w:autoSpaceDE w:val="0"/>
        <w:autoSpaceDN w:val="0"/>
        <w:adjustRightInd w:val="0"/>
        <w:spacing w:after="0" w:line="240" w:lineRule="auto"/>
        <w:rPr>
          <w:rFonts w:asciiTheme="majorHAnsi" w:hAnsiTheme="majorHAnsi" w:cs="TimesNewRomanPSMT"/>
          <w:color w:val="000000"/>
        </w:rPr>
      </w:pPr>
    </w:p>
    <w:p w14:paraId="22A68294" w14:textId="77777777" w:rsidR="003425F7" w:rsidRDefault="003425F7" w:rsidP="00404656">
      <w:pPr>
        <w:autoSpaceDE w:val="0"/>
        <w:autoSpaceDN w:val="0"/>
        <w:adjustRightInd w:val="0"/>
        <w:spacing w:after="0" w:line="240" w:lineRule="auto"/>
        <w:rPr>
          <w:rFonts w:asciiTheme="majorHAnsi" w:hAnsiTheme="majorHAnsi" w:cs="TimesNewRomanPSMT"/>
          <w:color w:val="000000"/>
        </w:rPr>
      </w:pPr>
    </w:p>
    <w:p w14:paraId="7E54E62E" w14:textId="77777777" w:rsidR="003425F7" w:rsidRPr="003425F7" w:rsidRDefault="003425F7" w:rsidP="003425F7">
      <w:pPr>
        <w:autoSpaceDE w:val="0"/>
        <w:autoSpaceDN w:val="0"/>
        <w:adjustRightInd w:val="0"/>
        <w:spacing w:after="0" w:line="240" w:lineRule="auto"/>
        <w:rPr>
          <w:rFonts w:asciiTheme="majorHAnsi" w:hAnsiTheme="majorHAnsi" w:cs="TimesNewRomanPSMT"/>
          <w:color w:val="000000"/>
        </w:rPr>
      </w:pPr>
      <w:r w:rsidRPr="003425F7">
        <w:rPr>
          <w:rFonts w:asciiTheme="majorHAnsi" w:hAnsiTheme="majorHAnsi" w:cs="TimesNewRomanPSMT"/>
          <w:b/>
          <w:bCs/>
          <w:color w:val="000000"/>
        </w:rPr>
        <w:t>Hand, Foot, and Mouth Disease - Updated Exclusion Policy</w:t>
      </w:r>
    </w:p>
    <w:p w14:paraId="1A0F74DD" w14:textId="77777777" w:rsidR="003425F7" w:rsidRPr="003425F7" w:rsidRDefault="003425F7" w:rsidP="003425F7">
      <w:pPr>
        <w:autoSpaceDE w:val="0"/>
        <w:autoSpaceDN w:val="0"/>
        <w:adjustRightInd w:val="0"/>
        <w:spacing w:after="0" w:line="240" w:lineRule="auto"/>
        <w:rPr>
          <w:rFonts w:asciiTheme="majorHAnsi" w:hAnsiTheme="majorHAnsi" w:cs="TimesNewRomanPSMT"/>
          <w:color w:val="000000"/>
        </w:rPr>
      </w:pPr>
      <w:r w:rsidRPr="003425F7">
        <w:rPr>
          <w:rFonts w:asciiTheme="majorHAnsi" w:hAnsiTheme="majorHAnsi" w:cs="TimesNewRomanPSMT"/>
          <w:color w:val="000000"/>
        </w:rPr>
        <w:t xml:space="preserve">To help prevent the spread of Hand, Foot, and Mouth Disease and protect the health of all children and staff, we are implementing a new policy. Effective immediately, children diagnosed with Hand, Foot, and Mouth Disease will be excluded from the setting for a period of </w:t>
      </w:r>
      <w:r w:rsidRPr="003425F7">
        <w:rPr>
          <w:rFonts w:asciiTheme="majorHAnsi" w:hAnsiTheme="majorHAnsi" w:cs="TimesNewRomanPSMT"/>
          <w:b/>
          <w:bCs/>
          <w:color w:val="000000"/>
        </w:rPr>
        <w:t>five days</w:t>
      </w:r>
      <w:r w:rsidRPr="003425F7">
        <w:rPr>
          <w:rFonts w:asciiTheme="majorHAnsi" w:hAnsiTheme="majorHAnsi" w:cs="TimesNewRomanPSMT"/>
          <w:color w:val="000000"/>
        </w:rPr>
        <w:t>. This is to ensure the infection rate is minimized and to contain the spread within the setting.</w:t>
      </w:r>
    </w:p>
    <w:p w14:paraId="286477EC" w14:textId="5CA58050" w:rsidR="00404656" w:rsidRDefault="00404656" w:rsidP="00404656"/>
    <w:p w14:paraId="5A5E4A09" w14:textId="77777777" w:rsidR="00404656" w:rsidRPr="00404656" w:rsidRDefault="00404656" w:rsidP="00404656">
      <w:pPr>
        <w:autoSpaceDE w:val="0"/>
        <w:autoSpaceDN w:val="0"/>
        <w:adjustRightInd w:val="0"/>
        <w:spacing w:after="0" w:line="240" w:lineRule="auto"/>
        <w:rPr>
          <w:rFonts w:asciiTheme="majorHAnsi" w:hAnsiTheme="majorHAnsi" w:cs="TimesNewRomanPSMT"/>
          <w:color w:val="000000"/>
        </w:rPr>
      </w:pPr>
      <w:r w:rsidRPr="00404656">
        <w:rPr>
          <w:rFonts w:asciiTheme="majorHAnsi" w:hAnsiTheme="majorHAnsi" w:cs="TimesNewRomanPSMT"/>
          <w:color w:val="000000"/>
        </w:rPr>
        <w:t>Playschool staff have the right to turn away children that they believe are not well enough to attend Playschool.</w:t>
      </w:r>
    </w:p>
    <w:p w14:paraId="751FA733" w14:textId="77777777" w:rsidR="00404656" w:rsidRPr="00404656" w:rsidRDefault="00404656" w:rsidP="00404656">
      <w:pPr>
        <w:rPr>
          <w:rFonts w:asciiTheme="majorHAnsi" w:hAnsiTheme="majorHAnsi"/>
        </w:rPr>
      </w:pPr>
    </w:p>
    <w:p w14:paraId="609A72DB" w14:textId="77777777" w:rsidR="00404656" w:rsidRDefault="00404656" w:rsidP="00404656"/>
    <w:p w14:paraId="24ACE593" w14:textId="17EFECDB" w:rsidR="005478D5" w:rsidRPr="005478D5" w:rsidRDefault="005478D5" w:rsidP="005478D5">
      <w:pPr>
        <w:tabs>
          <w:tab w:val="left" w:pos="8385"/>
        </w:tabs>
      </w:pPr>
      <w:r>
        <w:tab/>
      </w:r>
    </w:p>
    <w:p w14:paraId="3159665C" w14:textId="77777777" w:rsidR="00404656" w:rsidRPr="00404656" w:rsidRDefault="00404656" w:rsidP="00404656">
      <w:r w:rsidRPr="00404656">
        <w:lastRenderedPageBreak/>
        <w:t>If a child becomes unwell during a session, we will make every effort to contact the parent or carer to discuss the situation and determine the appropriate course of action. Our staff members are trained to handle these situations effectively. In an emergency, we will contact emergency services before reaching out to parents or carers.</w:t>
      </w:r>
    </w:p>
    <w:p w14:paraId="4DB8B827" w14:textId="77777777" w:rsidR="00404656" w:rsidRPr="00404656" w:rsidRDefault="00404656" w:rsidP="00404656">
      <w:r w:rsidRPr="00404656">
        <w:t>We obtain parental consent for emergency medical treatment and the administration of prescribed medication, in line with Chalke Valley Play School’s medication procedure policy.</w:t>
      </w:r>
    </w:p>
    <w:p w14:paraId="427D9D1D" w14:textId="370E7CE2" w:rsidR="00404656" w:rsidRDefault="00404656" w:rsidP="00404656">
      <w:r w:rsidRPr="00404656">
        <w:t>When deciding on the best course of action, we consider the well-being of all the children and adults in our care, as well as the needs of the unwell child</w:t>
      </w:r>
      <w:r>
        <w:t>.</w:t>
      </w:r>
    </w:p>
    <w:p w14:paraId="5838E8AE" w14:textId="77777777" w:rsidR="00404656" w:rsidRPr="00404656" w:rsidRDefault="00404656" w:rsidP="00404656">
      <w:pPr>
        <w:pStyle w:val="ListParagraph"/>
        <w:numPr>
          <w:ilvl w:val="0"/>
          <w:numId w:val="1"/>
        </w:numPr>
        <w:rPr>
          <w:rFonts w:asciiTheme="majorHAnsi" w:hAnsiTheme="majorHAnsi"/>
        </w:rPr>
      </w:pPr>
      <w:r w:rsidRPr="00404656">
        <w:rPr>
          <w:rFonts w:asciiTheme="majorHAnsi" w:hAnsiTheme="majorHAnsi"/>
        </w:rPr>
        <w:t>Parents will be informed if there is an infectious disease, such as chickenpox, at the Pre-school.</w:t>
      </w:r>
    </w:p>
    <w:p w14:paraId="1A43429D" w14:textId="77777777" w:rsidR="00404656" w:rsidRPr="00404656" w:rsidRDefault="00404656" w:rsidP="00404656">
      <w:pPr>
        <w:pStyle w:val="ListParagraph"/>
        <w:numPr>
          <w:ilvl w:val="0"/>
          <w:numId w:val="1"/>
        </w:numPr>
        <w:rPr>
          <w:rFonts w:asciiTheme="majorHAnsi" w:hAnsiTheme="majorHAnsi"/>
        </w:rPr>
      </w:pPr>
      <w:r w:rsidRPr="00404656">
        <w:rPr>
          <w:rFonts w:asciiTheme="majorHAnsi" w:hAnsiTheme="majorHAnsi"/>
        </w:rPr>
        <w:t>Children and families are never excluded from attending due to HIV.</w:t>
      </w:r>
    </w:p>
    <w:p w14:paraId="215F4DFD" w14:textId="77777777" w:rsidR="00404656" w:rsidRPr="00404656" w:rsidRDefault="00404656" w:rsidP="00404656">
      <w:pPr>
        <w:pStyle w:val="ListParagraph"/>
        <w:numPr>
          <w:ilvl w:val="0"/>
          <w:numId w:val="1"/>
        </w:numPr>
        <w:rPr>
          <w:rFonts w:asciiTheme="majorHAnsi" w:hAnsiTheme="majorHAnsi"/>
        </w:rPr>
      </w:pPr>
      <w:r w:rsidRPr="00404656">
        <w:rPr>
          <w:rFonts w:asciiTheme="majorHAnsi" w:hAnsiTheme="majorHAnsi"/>
        </w:rPr>
        <w:t>We maintain high standards of hygiene, ensuring any bodily fluids are cleaned up promptly and safely.</w:t>
      </w:r>
    </w:p>
    <w:p w14:paraId="603FAB4A" w14:textId="77777777" w:rsidR="00404656" w:rsidRPr="00404656" w:rsidRDefault="00404656" w:rsidP="00404656">
      <w:pPr>
        <w:pStyle w:val="ListParagraph"/>
        <w:numPr>
          <w:ilvl w:val="0"/>
          <w:numId w:val="1"/>
        </w:numPr>
        <w:rPr>
          <w:rFonts w:asciiTheme="majorHAnsi" w:hAnsiTheme="majorHAnsi"/>
        </w:rPr>
      </w:pPr>
      <w:r w:rsidRPr="00404656">
        <w:rPr>
          <w:rFonts w:asciiTheme="majorHAnsi" w:hAnsiTheme="majorHAnsi"/>
        </w:rPr>
        <w:t>If a staff member becomes ill during a session, arrangements will be made for suitable cover to ensure the session continues smoothly. The staff member will be supported to go home, and, if necessary, we will contact a relative or another staff member to assist with transportation.</w:t>
      </w:r>
    </w:p>
    <w:p w14:paraId="5A24E763" w14:textId="77777777" w:rsidR="00404656" w:rsidRDefault="00404656" w:rsidP="00404656"/>
    <w:p w14:paraId="3EC45EA6" w14:textId="77777777" w:rsidR="00404656" w:rsidRPr="00404656" w:rsidRDefault="00404656" w:rsidP="00404656">
      <w:pPr>
        <w:autoSpaceDE w:val="0"/>
        <w:autoSpaceDN w:val="0"/>
        <w:adjustRightInd w:val="0"/>
        <w:spacing w:after="0" w:line="240" w:lineRule="auto"/>
        <w:rPr>
          <w:rFonts w:asciiTheme="majorHAnsi" w:hAnsiTheme="majorHAnsi" w:cs="ArialMT"/>
          <w:u w:val="single"/>
        </w:rPr>
      </w:pPr>
      <w:r w:rsidRPr="00404656">
        <w:rPr>
          <w:rFonts w:asciiTheme="majorHAnsi" w:hAnsiTheme="majorHAnsi" w:cs="ArialMT"/>
          <w:u w:val="single"/>
        </w:rPr>
        <w:t>Head lice and Nits</w:t>
      </w:r>
    </w:p>
    <w:p w14:paraId="0E6FE338" w14:textId="27026299" w:rsidR="00404656" w:rsidRPr="00404656" w:rsidRDefault="00404656" w:rsidP="00404656">
      <w:pPr>
        <w:autoSpaceDE w:val="0"/>
        <w:autoSpaceDN w:val="0"/>
        <w:adjustRightInd w:val="0"/>
        <w:spacing w:after="0" w:line="240" w:lineRule="auto"/>
        <w:rPr>
          <w:rFonts w:asciiTheme="majorHAnsi" w:hAnsiTheme="majorHAnsi" w:cs="Arial"/>
        </w:rPr>
      </w:pPr>
      <w:r w:rsidRPr="00404656">
        <w:rPr>
          <w:rFonts w:asciiTheme="majorHAnsi" w:hAnsiTheme="majorHAnsi" w:cs="ArialMT"/>
        </w:rPr>
        <w:t xml:space="preserve">Children with head lice are not excluded, but </w:t>
      </w:r>
      <w:r w:rsidRPr="00404656">
        <w:rPr>
          <w:rFonts w:asciiTheme="majorHAnsi" w:hAnsiTheme="majorHAnsi" w:cs="Arial-BoldMT"/>
          <w:b/>
          <w:bCs/>
        </w:rPr>
        <w:t xml:space="preserve">must </w:t>
      </w:r>
      <w:r w:rsidRPr="00404656">
        <w:rPr>
          <w:rFonts w:asciiTheme="majorHAnsi" w:hAnsiTheme="majorHAnsi" w:cs="ArialMT"/>
        </w:rPr>
        <w:t xml:space="preserve">be treated to remedy the condition, </w:t>
      </w:r>
      <w:r w:rsidRPr="00404656">
        <w:rPr>
          <w:rFonts w:asciiTheme="majorHAnsi" w:hAnsiTheme="majorHAnsi" w:cs="Arial"/>
        </w:rPr>
        <w:t>although in exceptional cases a parent may be asked to keep the child away until the infestation has cleared</w:t>
      </w:r>
      <w:r>
        <w:rPr>
          <w:rFonts w:asciiTheme="majorHAnsi" w:hAnsiTheme="majorHAnsi" w:cs="Arial"/>
        </w:rPr>
        <w:t>.</w:t>
      </w:r>
    </w:p>
    <w:p w14:paraId="6E76857B" w14:textId="756C97CF" w:rsidR="00404656" w:rsidRDefault="00404656" w:rsidP="00404656">
      <w:pPr>
        <w:rPr>
          <w:rFonts w:asciiTheme="majorHAnsi" w:hAnsiTheme="majorHAnsi" w:cs="Arial"/>
        </w:rPr>
      </w:pPr>
      <w:r w:rsidRPr="00404656">
        <w:rPr>
          <w:rFonts w:asciiTheme="majorHAnsi" w:hAnsiTheme="majorHAnsi" w:cs="Arial"/>
        </w:rPr>
        <w:t>On identifying cases of head lice, all parents are informed and asked to treat their child and all the family if they are found to have head lice.</w:t>
      </w:r>
    </w:p>
    <w:p w14:paraId="2283E69F" w14:textId="77777777" w:rsidR="00B518A0" w:rsidRDefault="00B518A0" w:rsidP="00404656">
      <w:pPr>
        <w:rPr>
          <w:rFonts w:asciiTheme="majorHAnsi" w:hAnsiTheme="majorHAnsi" w:cs="Arial"/>
        </w:rPr>
      </w:pPr>
    </w:p>
    <w:p w14:paraId="690689CA" w14:textId="77777777" w:rsidR="00B518A0" w:rsidRPr="00B518A0" w:rsidRDefault="00B518A0" w:rsidP="00B518A0">
      <w:pPr>
        <w:rPr>
          <w:rFonts w:asciiTheme="majorHAnsi" w:hAnsiTheme="majorHAnsi" w:cs="Arial"/>
          <w:b/>
          <w:bCs/>
        </w:rPr>
      </w:pPr>
      <w:r w:rsidRPr="00B518A0">
        <w:rPr>
          <w:rFonts w:asciiTheme="majorHAnsi" w:hAnsiTheme="majorHAnsi" w:cs="Arial"/>
          <w:b/>
          <w:bCs/>
        </w:rPr>
        <w:t>Exclusion table</w:t>
      </w:r>
    </w:p>
    <w:p w14:paraId="3AE10484" w14:textId="77777777" w:rsidR="00B518A0" w:rsidRPr="00B518A0" w:rsidRDefault="00B518A0" w:rsidP="00B518A0">
      <w:pPr>
        <w:rPr>
          <w:rFonts w:asciiTheme="majorHAnsi" w:hAnsiTheme="majorHAnsi" w:cs="Arial"/>
        </w:rPr>
      </w:pPr>
      <w:r w:rsidRPr="00B518A0">
        <w:rPr>
          <w:rFonts w:asciiTheme="majorHAnsi" w:hAnsiTheme="majorHAnsi" w:cs="Arial"/>
        </w:rPr>
        <w:t>This guidance refers to public health exclusions to indicate the time period an individual should not attend a setting to reduce the risk of transmission during the infectious stage. This is different to ‘exclusion’ as used in an educational sense.</w:t>
      </w:r>
    </w:p>
    <w:tbl>
      <w:tblPr>
        <w:tblW w:w="10688" w:type="dxa"/>
        <w:shd w:val="clear" w:color="auto" w:fill="FFFFFF"/>
        <w:tblCellMar>
          <w:top w:w="15" w:type="dxa"/>
          <w:left w:w="15" w:type="dxa"/>
          <w:bottom w:w="15" w:type="dxa"/>
          <w:right w:w="15" w:type="dxa"/>
        </w:tblCellMar>
        <w:tblLook w:val="04A0" w:firstRow="1" w:lastRow="0" w:firstColumn="1" w:lastColumn="0" w:noHBand="0" w:noVBand="1"/>
      </w:tblPr>
      <w:tblGrid>
        <w:gridCol w:w="1985"/>
        <w:gridCol w:w="3544"/>
        <w:gridCol w:w="5159"/>
      </w:tblGrid>
      <w:tr w:rsidR="00B518A0" w:rsidRPr="00B518A0" w14:paraId="522C2845" w14:textId="77777777" w:rsidTr="00B518A0">
        <w:trPr>
          <w:tblHeader/>
        </w:trPr>
        <w:tc>
          <w:tcPr>
            <w:tcW w:w="1985" w:type="dxa"/>
            <w:tcBorders>
              <w:bottom w:val="single" w:sz="6" w:space="0" w:color="B1B4B6"/>
            </w:tcBorders>
            <w:shd w:val="clear" w:color="auto" w:fill="FFFFFF"/>
            <w:tcMar>
              <w:top w:w="150" w:type="dxa"/>
              <w:left w:w="0" w:type="dxa"/>
              <w:bottom w:w="150" w:type="dxa"/>
              <w:right w:w="300" w:type="dxa"/>
            </w:tcMar>
            <w:hideMark/>
          </w:tcPr>
          <w:p w14:paraId="657718A3" w14:textId="77777777" w:rsidR="00B518A0" w:rsidRPr="00B518A0" w:rsidRDefault="00B518A0" w:rsidP="00B518A0">
            <w:pPr>
              <w:rPr>
                <w:rFonts w:asciiTheme="majorHAnsi" w:hAnsiTheme="majorHAnsi" w:cs="Arial"/>
                <w:b/>
                <w:bCs/>
              </w:rPr>
            </w:pPr>
            <w:r w:rsidRPr="00B518A0">
              <w:rPr>
                <w:rFonts w:asciiTheme="majorHAnsi" w:hAnsiTheme="majorHAnsi" w:cs="Arial"/>
                <w:b/>
                <w:bCs/>
              </w:rPr>
              <w:t>Infection</w:t>
            </w:r>
          </w:p>
        </w:tc>
        <w:tc>
          <w:tcPr>
            <w:tcW w:w="3544" w:type="dxa"/>
            <w:tcBorders>
              <w:bottom w:val="single" w:sz="6" w:space="0" w:color="B1B4B6"/>
            </w:tcBorders>
            <w:shd w:val="clear" w:color="auto" w:fill="FFFFFF"/>
            <w:tcMar>
              <w:top w:w="150" w:type="dxa"/>
              <w:left w:w="0" w:type="dxa"/>
              <w:bottom w:w="150" w:type="dxa"/>
              <w:right w:w="300" w:type="dxa"/>
            </w:tcMar>
            <w:hideMark/>
          </w:tcPr>
          <w:p w14:paraId="24F91981" w14:textId="77777777" w:rsidR="00B518A0" w:rsidRPr="00B518A0" w:rsidRDefault="00B518A0" w:rsidP="00B518A0">
            <w:pPr>
              <w:rPr>
                <w:rFonts w:asciiTheme="majorHAnsi" w:hAnsiTheme="majorHAnsi" w:cs="Arial"/>
                <w:b/>
                <w:bCs/>
              </w:rPr>
            </w:pPr>
            <w:r w:rsidRPr="00B518A0">
              <w:rPr>
                <w:rFonts w:asciiTheme="majorHAnsi" w:hAnsiTheme="majorHAnsi" w:cs="Arial"/>
                <w:b/>
                <w:bCs/>
              </w:rPr>
              <w:t>Exclusion period</w:t>
            </w:r>
          </w:p>
        </w:tc>
        <w:tc>
          <w:tcPr>
            <w:tcW w:w="5159" w:type="dxa"/>
            <w:tcBorders>
              <w:bottom w:val="single" w:sz="6" w:space="0" w:color="B1B4B6"/>
            </w:tcBorders>
            <w:shd w:val="clear" w:color="auto" w:fill="FFFFFF"/>
            <w:tcMar>
              <w:top w:w="150" w:type="dxa"/>
              <w:left w:w="0" w:type="dxa"/>
              <w:bottom w:w="150" w:type="dxa"/>
              <w:right w:w="0" w:type="dxa"/>
            </w:tcMar>
            <w:hideMark/>
          </w:tcPr>
          <w:p w14:paraId="0354401C" w14:textId="77777777" w:rsidR="00B518A0" w:rsidRPr="00B518A0" w:rsidRDefault="00B518A0" w:rsidP="00B518A0">
            <w:pPr>
              <w:rPr>
                <w:rFonts w:asciiTheme="majorHAnsi" w:hAnsiTheme="majorHAnsi" w:cs="Arial"/>
                <w:b/>
                <w:bCs/>
              </w:rPr>
            </w:pPr>
            <w:r w:rsidRPr="00B518A0">
              <w:rPr>
                <w:rFonts w:asciiTheme="majorHAnsi" w:hAnsiTheme="majorHAnsi" w:cs="Arial"/>
                <w:b/>
                <w:bCs/>
              </w:rPr>
              <w:t>Comments</w:t>
            </w:r>
          </w:p>
        </w:tc>
      </w:tr>
      <w:tr w:rsidR="00B518A0" w:rsidRPr="00B518A0" w14:paraId="37B35A93" w14:textId="77777777" w:rsidTr="00B518A0">
        <w:tc>
          <w:tcPr>
            <w:tcW w:w="1985" w:type="dxa"/>
            <w:tcBorders>
              <w:bottom w:val="single" w:sz="6" w:space="0" w:color="B1B4B6"/>
            </w:tcBorders>
            <w:shd w:val="clear" w:color="auto" w:fill="FFFFFF"/>
            <w:tcMar>
              <w:top w:w="150" w:type="dxa"/>
              <w:left w:w="0" w:type="dxa"/>
              <w:bottom w:w="150" w:type="dxa"/>
              <w:right w:w="300" w:type="dxa"/>
            </w:tcMar>
            <w:hideMark/>
          </w:tcPr>
          <w:p w14:paraId="0311BE75"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Athlete’s foot</w:t>
            </w:r>
          </w:p>
        </w:tc>
        <w:tc>
          <w:tcPr>
            <w:tcW w:w="3544" w:type="dxa"/>
            <w:tcBorders>
              <w:bottom w:val="single" w:sz="6" w:space="0" w:color="B1B4B6"/>
            </w:tcBorders>
            <w:shd w:val="clear" w:color="auto" w:fill="FFFFFF"/>
            <w:tcMar>
              <w:top w:w="150" w:type="dxa"/>
              <w:left w:w="0" w:type="dxa"/>
              <w:bottom w:w="150" w:type="dxa"/>
              <w:right w:w="300" w:type="dxa"/>
            </w:tcMar>
            <w:hideMark/>
          </w:tcPr>
          <w:p w14:paraId="5AC43B62"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None</w:t>
            </w:r>
          </w:p>
        </w:tc>
        <w:tc>
          <w:tcPr>
            <w:tcW w:w="5159" w:type="dxa"/>
            <w:tcBorders>
              <w:bottom w:val="single" w:sz="6" w:space="0" w:color="B1B4B6"/>
            </w:tcBorders>
            <w:shd w:val="clear" w:color="auto" w:fill="FFFFFF"/>
            <w:tcMar>
              <w:top w:w="150" w:type="dxa"/>
              <w:left w:w="0" w:type="dxa"/>
              <w:bottom w:w="150" w:type="dxa"/>
              <w:right w:w="0" w:type="dxa"/>
            </w:tcMar>
            <w:hideMark/>
          </w:tcPr>
          <w:p w14:paraId="3527173D" w14:textId="2D7AD4E5"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Individuals should not be barefoot at their setting (for example in</w:t>
            </w:r>
            <w:r>
              <w:rPr>
                <w:rFonts w:asciiTheme="majorHAnsi" w:hAnsiTheme="majorHAnsi" w:cs="Arial"/>
                <w:sz w:val="16"/>
                <w:szCs w:val="16"/>
              </w:rPr>
              <w:t xml:space="preserve">                </w:t>
            </w:r>
            <w:r w:rsidRPr="00B518A0">
              <w:rPr>
                <w:rFonts w:asciiTheme="majorHAnsi" w:hAnsiTheme="majorHAnsi" w:cs="Arial"/>
                <w:sz w:val="16"/>
                <w:szCs w:val="16"/>
              </w:rPr>
              <w:t xml:space="preserve"> changing areas) and should not share towels, socks or shoes with others.</w:t>
            </w:r>
          </w:p>
        </w:tc>
      </w:tr>
      <w:tr w:rsidR="00B518A0" w:rsidRPr="00B518A0" w14:paraId="6DC66243" w14:textId="77777777" w:rsidTr="00B518A0">
        <w:tc>
          <w:tcPr>
            <w:tcW w:w="1985" w:type="dxa"/>
            <w:tcBorders>
              <w:bottom w:val="single" w:sz="6" w:space="0" w:color="B1B4B6"/>
            </w:tcBorders>
            <w:shd w:val="clear" w:color="auto" w:fill="FFFFFF"/>
            <w:tcMar>
              <w:top w:w="150" w:type="dxa"/>
              <w:left w:w="0" w:type="dxa"/>
              <w:bottom w:w="150" w:type="dxa"/>
              <w:right w:w="300" w:type="dxa"/>
            </w:tcMar>
            <w:hideMark/>
          </w:tcPr>
          <w:p w14:paraId="76A683F4"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Chickenpox</w:t>
            </w:r>
          </w:p>
        </w:tc>
        <w:tc>
          <w:tcPr>
            <w:tcW w:w="3544" w:type="dxa"/>
            <w:tcBorders>
              <w:bottom w:val="single" w:sz="6" w:space="0" w:color="B1B4B6"/>
            </w:tcBorders>
            <w:shd w:val="clear" w:color="auto" w:fill="FFFFFF"/>
            <w:tcMar>
              <w:top w:w="150" w:type="dxa"/>
              <w:left w:w="0" w:type="dxa"/>
              <w:bottom w:w="150" w:type="dxa"/>
              <w:right w:w="300" w:type="dxa"/>
            </w:tcMar>
            <w:hideMark/>
          </w:tcPr>
          <w:p w14:paraId="6D211D93" w14:textId="4FB16BE8"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 xml:space="preserve"> </w:t>
            </w:r>
            <w:r w:rsidR="00604FDE">
              <w:rPr>
                <w:rFonts w:asciiTheme="majorHAnsi" w:hAnsiTheme="majorHAnsi" w:cs="Arial"/>
                <w:sz w:val="16"/>
                <w:szCs w:val="16"/>
              </w:rPr>
              <w:t xml:space="preserve">At least </w:t>
            </w:r>
            <w:r w:rsidRPr="00B518A0">
              <w:rPr>
                <w:rFonts w:asciiTheme="majorHAnsi" w:hAnsiTheme="majorHAnsi" w:cs="Arial"/>
                <w:sz w:val="16"/>
                <w:szCs w:val="16"/>
              </w:rPr>
              <w:t>5 days from onset of rash and until all blisters have crusted over.</w:t>
            </w:r>
          </w:p>
        </w:tc>
        <w:tc>
          <w:tcPr>
            <w:tcW w:w="5159" w:type="dxa"/>
            <w:tcBorders>
              <w:bottom w:val="single" w:sz="6" w:space="0" w:color="B1B4B6"/>
            </w:tcBorders>
            <w:shd w:val="clear" w:color="auto" w:fill="FFFFFF"/>
            <w:tcMar>
              <w:top w:w="150" w:type="dxa"/>
              <w:left w:w="0" w:type="dxa"/>
              <w:bottom w:w="150" w:type="dxa"/>
              <w:right w:w="0" w:type="dxa"/>
            </w:tcMar>
            <w:hideMark/>
          </w:tcPr>
          <w:p w14:paraId="2A788D02"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Pregnant staff contacts should consult with their GP or midwife.</w:t>
            </w:r>
          </w:p>
        </w:tc>
      </w:tr>
      <w:tr w:rsidR="00B518A0" w:rsidRPr="00B518A0" w14:paraId="2D89A804" w14:textId="77777777" w:rsidTr="00B518A0">
        <w:tc>
          <w:tcPr>
            <w:tcW w:w="1985" w:type="dxa"/>
            <w:tcBorders>
              <w:bottom w:val="single" w:sz="6" w:space="0" w:color="B1B4B6"/>
            </w:tcBorders>
            <w:shd w:val="clear" w:color="auto" w:fill="FFFFFF"/>
            <w:tcMar>
              <w:top w:w="150" w:type="dxa"/>
              <w:left w:w="0" w:type="dxa"/>
              <w:bottom w:w="150" w:type="dxa"/>
              <w:right w:w="300" w:type="dxa"/>
            </w:tcMar>
            <w:hideMark/>
          </w:tcPr>
          <w:p w14:paraId="6EB48AB0"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Cold sores (herpes simplex)</w:t>
            </w:r>
          </w:p>
        </w:tc>
        <w:tc>
          <w:tcPr>
            <w:tcW w:w="3544" w:type="dxa"/>
            <w:tcBorders>
              <w:bottom w:val="single" w:sz="6" w:space="0" w:color="B1B4B6"/>
            </w:tcBorders>
            <w:shd w:val="clear" w:color="auto" w:fill="FFFFFF"/>
            <w:tcMar>
              <w:top w:w="150" w:type="dxa"/>
              <w:left w:w="0" w:type="dxa"/>
              <w:bottom w:w="150" w:type="dxa"/>
              <w:right w:w="300" w:type="dxa"/>
            </w:tcMar>
            <w:hideMark/>
          </w:tcPr>
          <w:p w14:paraId="1F3986F0"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None</w:t>
            </w:r>
          </w:p>
        </w:tc>
        <w:tc>
          <w:tcPr>
            <w:tcW w:w="5159" w:type="dxa"/>
            <w:tcBorders>
              <w:bottom w:val="single" w:sz="6" w:space="0" w:color="B1B4B6"/>
            </w:tcBorders>
            <w:shd w:val="clear" w:color="auto" w:fill="FFFFFF"/>
            <w:tcMar>
              <w:top w:w="150" w:type="dxa"/>
              <w:left w:w="0" w:type="dxa"/>
              <w:bottom w:w="150" w:type="dxa"/>
              <w:right w:w="0" w:type="dxa"/>
            </w:tcMar>
            <w:hideMark/>
          </w:tcPr>
          <w:p w14:paraId="7CFA688B"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Avoid kissing and contact with the sores.</w:t>
            </w:r>
          </w:p>
        </w:tc>
      </w:tr>
      <w:tr w:rsidR="00B518A0" w:rsidRPr="00B518A0" w14:paraId="5310EAF5" w14:textId="77777777" w:rsidTr="00B518A0">
        <w:tc>
          <w:tcPr>
            <w:tcW w:w="1985" w:type="dxa"/>
            <w:tcBorders>
              <w:bottom w:val="single" w:sz="6" w:space="0" w:color="B1B4B6"/>
            </w:tcBorders>
            <w:shd w:val="clear" w:color="auto" w:fill="FFFFFF"/>
            <w:tcMar>
              <w:top w:w="150" w:type="dxa"/>
              <w:left w:w="0" w:type="dxa"/>
              <w:bottom w:w="150" w:type="dxa"/>
              <w:right w:w="300" w:type="dxa"/>
            </w:tcMar>
            <w:hideMark/>
          </w:tcPr>
          <w:p w14:paraId="14FF5D53"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lastRenderedPageBreak/>
              <w:t>Conjunctivitis</w:t>
            </w:r>
          </w:p>
        </w:tc>
        <w:tc>
          <w:tcPr>
            <w:tcW w:w="3544" w:type="dxa"/>
            <w:tcBorders>
              <w:bottom w:val="single" w:sz="6" w:space="0" w:color="B1B4B6"/>
            </w:tcBorders>
            <w:shd w:val="clear" w:color="auto" w:fill="FFFFFF"/>
            <w:tcMar>
              <w:top w:w="150" w:type="dxa"/>
              <w:left w:w="0" w:type="dxa"/>
              <w:bottom w:w="150" w:type="dxa"/>
              <w:right w:w="300" w:type="dxa"/>
            </w:tcMar>
            <w:hideMark/>
          </w:tcPr>
          <w:p w14:paraId="23ABF1A6"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None</w:t>
            </w:r>
          </w:p>
        </w:tc>
        <w:tc>
          <w:tcPr>
            <w:tcW w:w="5159" w:type="dxa"/>
            <w:tcBorders>
              <w:bottom w:val="single" w:sz="6" w:space="0" w:color="B1B4B6"/>
            </w:tcBorders>
            <w:shd w:val="clear" w:color="auto" w:fill="FFFFFF"/>
            <w:tcMar>
              <w:top w:w="150" w:type="dxa"/>
              <w:left w:w="0" w:type="dxa"/>
              <w:bottom w:w="150" w:type="dxa"/>
              <w:right w:w="0" w:type="dxa"/>
            </w:tcMar>
            <w:hideMark/>
          </w:tcPr>
          <w:p w14:paraId="16624580"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If an outbreak or cluster occurs, </w:t>
            </w:r>
            <w:hyperlink r:id="rId7" w:history="1">
              <w:r w:rsidRPr="00B518A0">
                <w:rPr>
                  <w:rStyle w:val="Hyperlink"/>
                  <w:rFonts w:asciiTheme="majorHAnsi" w:hAnsiTheme="majorHAnsi" w:cs="Arial"/>
                  <w:sz w:val="16"/>
                  <w:szCs w:val="16"/>
                </w:rPr>
                <w:t>contact your local UKHSA health protection team</w:t>
              </w:r>
            </w:hyperlink>
            <w:r w:rsidRPr="00B518A0">
              <w:rPr>
                <w:rFonts w:asciiTheme="majorHAnsi" w:hAnsiTheme="majorHAnsi" w:cs="Arial"/>
                <w:sz w:val="16"/>
                <w:szCs w:val="16"/>
              </w:rPr>
              <w:t>.</w:t>
            </w:r>
          </w:p>
        </w:tc>
      </w:tr>
      <w:tr w:rsidR="00B518A0" w:rsidRPr="00B518A0" w14:paraId="49F33E51" w14:textId="77777777" w:rsidTr="00B518A0">
        <w:tc>
          <w:tcPr>
            <w:tcW w:w="1985" w:type="dxa"/>
            <w:tcBorders>
              <w:bottom w:val="single" w:sz="6" w:space="0" w:color="B1B4B6"/>
            </w:tcBorders>
            <w:shd w:val="clear" w:color="auto" w:fill="FFFFFF"/>
            <w:tcMar>
              <w:top w:w="150" w:type="dxa"/>
              <w:left w:w="0" w:type="dxa"/>
              <w:bottom w:w="150" w:type="dxa"/>
              <w:right w:w="300" w:type="dxa"/>
            </w:tcMar>
            <w:hideMark/>
          </w:tcPr>
          <w:p w14:paraId="4B12A054"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Respiratory infections including coronavirus (COVID-19)</w:t>
            </w:r>
          </w:p>
        </w:tc>
        <w:tc>
          <w:tcPr>
            <w:tcW w:w="3544" w:type="dxa"/>
            <w:tcBorders>
              <w:bottom w:val="single" w:sz="6" w:space="0" w:color="B1B4B6"/>
            </w:tcBorders>
            <w:shd w:val="clear" w:color="auto" w:fill="FFFFFF"/>
            <w:tcMar>
              <w:top w:w="150" w:type="dxa"/>
              <w:left w:w="0" w:type="dxa"/>
              <w:bottom w:w="150" w:type="dxa"/>
              <w:right w:w="300" w:type="dxa"/>
            </w:tcMar>
            <w:hideMark/>
          </w:tcPr>
          <w:p w14:paraId="249DA2DD"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Individuals should not attend if they have a high temperature and are unwell.</w:t>
            </w:r>
            <w:r w:rsidRPr="00B518A0">
              <w:rPr>
                <w:rFonts w:asciiTheme="majorHAnsi" w:hAnsiTheme="majorHAnsi" w:cs="Arial"/>
                <w:sz w:val="16"/>
                <w:szCs w:val="16"/>
              </w:rPr>
              <w:br/>
            </w:r>
            <w:r w:rsidRPr="00B518A0">
              <w:rPr>
                <w:rFonts w:asciiTheme="majorHAnsi" w:hAnsiTheme="majorHAnsi" w:cs="Arial"/>
                <w:sz w:val="16"/>
                <w:szCs w:val="16"/>
              </w:rPr>
              <w:br/>
              <w:t>Individuals who have a positive test result for COVID-19 should not attend the setting for 3 days after the day of the test.</w:t>
            </w:r>
          </w:p>
        </w:tc>
        <w:tc>
          <w:tcPr>
            <w:tcW w:w="5159" w:type="dxa"/>
            <w:tcBorders>
              <w:bottom w:val="single" w:sz="6" w:space="0" w:color="B1B4B6"/>
            </w:tcBorders>
            <w:shd w:val="clear" w:color="auto" w:fill="FFFFFF"/>
            <w:tcMar>
              <w:top w:w="150" w:type="dxa"/>
              <w:left w:w="0" w:type="dxa"/>
              <w:bottom w:w="150" w:type="dxa"/>
              <w:right w:w="0" w:type="dxa"/>
            </w:tcMar>
            <w:hideMark/>
          </w:tcPr>
          <w:p w14:paraId="4E7DC4C9"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Individuals with mild symptoms such as runny nose, and headache who are otherwise well can continue to attend their setting.</w:t>
            </w:r>
          </w:p>
        </w:tc>
      </w:tr>
      <w:tr w:rsidR="00B518A0" w:rsidRPr="00B518A0" w14:paraId="08CC7749" w14:textId="77777777" w:rsidTr="00B518A0">
        <w:tc>
          <w:tcPr>
            <w:tcW w:w="1985" w:type="dxa"/>
            <w:tcBorders>
              <w:bottom w:val="single" w:sz="6" w:space="0" w:color="B1B4B6"/>
            </w:tcBorders>
            <w:shd w:val="clear" w:color="auto" w:fill="FFFFFF"/>
            <w:tcMar>
              <w:top w:w="150" w:type="dxa"/>
              <w:left w:w="0" w:type="dxa"/>
              <w:bottom w:w="150" w:type="dxa"/>
              <w:right w:w="300" w:type="dxa"/>
            </w:tcMar>
            <w:hideMark/>
          </w:tcPr>
          <w:p w14:paraId="13AA8777"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Diarrhoea and vomiting</w:t>
            </w:r>
          </w:p>
        </w:tc>
        <w:tc>
          <w:tcPr>
            <w:tcW w:w="3544" w:type="dxa"/>
            <w:tcBorders>
              <w:bottom w:val="single" w:sz="6" w:space="0" w:color="B1B4B6"/>
            </w:tcBorders>
            <w:shd w:val="clear" w:color="auto" w:fill="FFFFFF"/>
            <w:tcMar>
              <w:top w:w="150" w:type="dxa"/>
              <w:left w:w="0" w:type="dxa"/>
              <w:bottom w:w="150" w:type="dxa"/>
              <w:right w:w="300" w:type="dxa"/>
            </w:tcMar>
            <w:hideMark/>
          </w:tcPr>
          <w:p w14:paraId="101B9223"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Individuals can return 48 hours after diarrhoea and vomiting have stopped.</w:t>
            </w:r>
          </w:p>
        </w:tc>
        <w:tc>
          <w:tcPr>
            <w:tcW w:w="5159" w:type="dxa"/>
            <w:tcBorders>
              <w:bottom w:val="single" w:sz="6" w:space="0" w:color="B1B4B6"/>
            </w:tcBorders>
            <w:shd w:val="clear" w:color="auto" w:fill="FFFFFF"/>
            <w:tcMar>
              <w:top w:w="150" w:type="dxa"/>
              <w:left w:w="0" w:type="dxa"/>
              <w:bottom w:w="150" w:type="dxa"/>
              <w:right w:w="0" w:type="dxa"/>
            </w:tcMar>
            <w:hideMark/>
          </w:tcPr>
          <w:p w14:paraId="0CC1FB25"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If a particular cause of the diarrhoea and vomiting is identified, there may be additional exclusion advice, for example E. coli STEC and hep A.</w:t>
            </w:r>
            <w:r w:rsidRPr="00B518A0">
              <w:rPr>
                <w:rFonts w:asciiTheme="majorHAnsi" w:hAnsiTheme="majorHAnsi" w:cs="Arial"/>
                <w:sz w:val="16"/>
                <w:szCs w:val="16"/>
              </w:rPr>
              <w:br/>
            </w:r>
            <w:r w:rsidRPr="00B518A0">
              <w:rPr>
                <w:rFonts w:asciiTheme="majorHAnsi" w:hAnsiTheme="majorHAnsi" w:cs="Arial"/>
                <w:sz w:val="16"/>
                <w:szCs w:val="16"/>
              </w:rPr>
              <w:br/>
              <w:t>For more information, see </w:t>
            </w:r>
            <w:hyperlink r:id="rId8" w:history="1">
              <w:r w:rsidRPr="00B518A0">
                <w:rPr>
                  <w:rStyle w:val="Hyperlink"/>
                  <w:rFonts w:asciiTheme="majorHAnsi" w:hAnsiTheme="majorHAnsi" w:cs="Arial"/>
                  <w:sz w:val="16"/>
                  <w:szCs w:val="16"/>
                </w:rPr>
                <w:t>Managing outbreaks and incidents</w:t>
              </w:r>
            </w:hyperlink>
            <w:r w:rsidRPr="00B518A0">
              <w:rPr>
                <w:rFonts w:asciiTheme="majorHAnsi" w:hAnsiTheme="majorHAnsi" w:cs="Arial"/>
                <w:sz w:val="16"/>
                <w:szCs w:val="16"/>
              </w:rPr>
              <w:t>.</w:t>
            </w:r>
          </w:p>
        </w:tc>
      </w:tr>
      <w:tr w:rsidR="00B518A0" w:rsidRPr="00B518A0" w14:paraId="06DCC1AE" w14:textId="77777777" w:rsidTr="00B518A0">
        <w:tc>
          <w:tcPr>
            <w:tcW w:w="1985" w:type="dxa"/>
            <w:tcBorders>
              <w:bottom w:val="single" w:sz="6" w:space="0" w:color="B1B4B6"/>
            </w:tcBorders>
            <w:shd w:val="clear" w:color="auto" w:fill="FFFFFF"/>
            <w:tcMar>
              <w:top w:w="150" w:type="dxa"/>
              <w:left w:w="0" w:type="dxa"/>
              <w:bottom w:w="150" w:type="dxa"/>
              <w:right w:w="300" w:type="dxa"/>
            </w:tcMar>
            <w:hideMark/>
          </w:tcPr>
          <w:p w14:paraId="2708F1E1"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Diptheria*</w:t>
            </w:r>
          </w:p>
        </w:tc>
        <w:tc>
          <w:tcPr>
            <w:tcW w:w="3544" w:type="dxa"/>
            <w:tcBorders>
              <w:bottom w:val="single" w:sz="6" w:space="0" w:color="B1B4B6"/>
            </w:tcBorders>
            <w:shd w:val="clear" w:color="auto" w:fill="FFFFFF"/>
            <w:tcMar>
              <w:top w:w="150" w:type="dxa"/>
              <w:left w:w="0" w:type="dxa"/>
              <w:bottom w:w="150" w:type="dxa"/>
              <w:right w:w="300" w:type="dxa"/>
            </w:tcMar>
            <w:hideMark/>
          </w:tcPr>
          <w:p w14:paraId="1D340DB9"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Exclusion is essential.</w:t>
            </w:r>
            <w:r w:rsidRPr="00B518A0">
              <w:rPr>
                <w:rFonts w:asciiTheme="majorHAnsi" w:hAnsiTheme="majorHAnsi" w:cs="Arial"/>
                <w:sz w:val="16"/>
                <w:szCs w:val="16"/>
              </w:rPr>
              <w:br/>
            </w:r>
            <w:r w:rsidRPr="00B518A0">
              <w:rPr>
                <w:rFonts w:asciiTheme="majorHAnsi" w:hAnsiTheme="majorHAnsi" w:cs="Arial"/>
                <w:sz w:val="16"/>
                <w:szCs w:val="16"/>
              </w:rPr>
              <w:br/>
              <w:t>Always contact your </w:t>
            </w:r>
            <w:hyperlink r:id="rId9" w:history="1">
              <w:r w:rsidRPr="00B518A0">
                <w:rPr>
                  <w:rStyle w:val="Hyperlink"/>
                  <w:rFonts w:asciiTheme="majorHAnsi" w:hAnsiTheme="majorHAnsi" w:cs="Arial"/>
                  <w:sz w:val="16"/>
                  <w:szCs w:val="16"/>
                </w:rPr>
                <w:t>local UKHSA health protection team</w:t>
              </w:r>
            </w:hyperlink>
            <w:r w:rsidRPr="00B518A0">
              <w:rPr>
                <w:rFonts w:asciiTheme="majorHAnsi" w:hAnsiTheme="majorHAnsi" w:cs="Arial"/>
                <w:sz w:val="16"/>
                <w:szCs w:val="16"/>
              </w:rPr>
              <w:t>.</w:t>
            </w:r>
          </w:p>
        </w:tc>
        <w:tc>
          <w:tcPr>
            <w:tcW w:w="5159" w:type="dxa"/>
            <w:tcBorders>
              <w:bottom w:val="single" w:sz="6" w:space="0" w:color="B1B4B6"/>
            </w:tcBorders>
            <w:shd w:val="clear" w:color="auto" w:fill="FFFFFF"/>
            <w:tcMar>
              <w:top w:w="150" w:type="dxa"/>
              <w:left w:w="0" w:type="dxa"/>
              <w:bottom w:w="150" w:type="dxa"/>
              <w:right w:w="0" w:type="dxa"/>
            </w:tcMar>
            <w:hideMark/>
          </w:tcPr>
          <w:p w14:paraId="70FF2288" w14:textId="2B36854C"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Preventable by vaccination. For toxigenic Diphtheria, only family</w:t>
            </w:r>
            <w:r>
              <w:rPr>
                <w:rFonts w:asciiTheme="majorHAnsi" w:hAnsiTheme="majorHAnsi" w:cs="Arial"/>
                <w:sz w:val="16"/>
                <w:szCs w:val="16"/>
              </w:rPr>
              <w:t xml:space="preserve">                 </w:t>
            </w:r>
            <w:r w:rsidRPr="00B518A0">
              <w:rPr>
                <w:rFonts w:asciiTheme="majorHAnsi" w:hAnsiTheme="majorHAnsi" w:cs="Arial"/>
                <w:sz w:val="16"/>
                <w:szCs w:val="16"/>
              </w:rPr>
              <w:t xml:space="preserve"> contacts must be excluded until cleared to return by you</w:t>
            </w:r>
            <w:r>
              <w:rPr>
                <w:rFonts w:asciiTheme="majorHAnsi" w:hAnsiTheme="majorHAnsi" w:cs="Arial"/>
                <w:sz w:val="16"/>
                <w:szCs w:val="16"/>
              </w:rPr>
              <w:t xml:space="preserve">r              </w:t>
            </w:r>
            <w:r w:rsidRPr="00B518A0">
              <w:rPr>
                <w:rFonts w:asciiTheme="majorHAnsi" w:hAnsiTheme="majorHAnsi" w:cs="Arial"/>
                <w:sz w:val="16"/>
                <w:szCs w:val="16"/>
              </w:rPr>
              <w:t> </w:t>
            </w:r>
            <w:hyperlink r:id="rId10" w:history="1">
              <w:r w:rsidRPr="00B518A0">
                <w:rPr>
                  <w:rStyle w:val="Hyperlink"/>
                  <w:rFonts w:asciiTheme="majorHAnsi" w:hAnsiTheme="majorHAnsi" w:cs="Arial"/>
                  <w:sz w:val="16"/>
                  <w:szCs w:val="16"/>
                </w:rPr>
                <w:t>local UKHSA health protection team</w:t>
              </w:r>
            </w:hyperlink>
            <w:r w:rsidRPr="00B518A0">
              <w:rPr>
                <w:rFonts w:asciiTheme="majorHAnsi" w:hAnsiTheme="majorHAnsi" w:cs="Arial"/>
                <w:sz w:val="16"/>
                <w:szCs w:val="16"/>
              </w:rPr>
              <w:t>.</w:t>
            </w:r>
          </w:p>
        </w:tc>
      </w:tr>
      <w:tr w:rsidR="00B518A0" w:rsidRPr="00B518A0" w14:paraId="046961F3" w14:textId="77777777" w:rsidTr="00B518A0">
        <w:tc>
          <w:tcPr>
            <w:tcW w:w="1985" w:type="dxa"/>
            <w:tcBorders>
              <w:bottom w:val="single" w:sz="6" w:space="0" w:color="B1B4B6"/>
            </w:tcBorders>
            <w:shd w:val="clear" w:color="auto" w:fill="FFFFFF"/>
            <w:tcMar>
              <w:top w:w="150" w:type="dxa"/>
              <w:left w:w="0" w:type="dxa"/>
              <w:bottom w:w="150" w:type="dxa"/>
              <w:right w:w="300" w:type="dxa"/>
            </w:tcMar>
            <w:hideMark/>
          </w:tcPr>
          <w:p w14:paraId="5DFEF6DE"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Flu (influenza) or influenza like illness</w:t>
            </w:r>
          </w:p>
        </w:tc>
        <w:tc>
          <w:tcPr>
            <w:tcW w:w="3544" w:type="dxa"/>
            <w:tcBorders>
              <w:bottom w:val="single" w:sz="6" w:space="0" w:color="B1B4B6"/>
            </w:tcBorders>
            <w:shd w:val="clear" w:color="auto" w:fill="FFFFFF"/>
            <w:tcMar>
              <w:top w:w="150" w:type="dxa"/>
              <w:left w:w="0" w:type="dxa"/>
              <w:bottom w:w="150" w:type="dxa"/>
              <w:right w:w="300" w:type="dxa"/>
            </w:tcMar>
            <w:hideMark/>
          </w:tcPr>
          <w:p w14:paraId="19518781"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Until recovered</w:t>
            </w:r>
          </w:p>
        </w:tc>
        <w:tc>
          <w:tcPr>
            <w:tcW w:w="5159" w:type="dxa"/>
            <w:tcBorders>
              <w:bottom w:val="single" w:sz="6" w:space="0" w:color="B1B4B6"/>
            </w:tcBorders>
            <w:shd w:val="clear" w:color="auto" w:fill="FFFFFF"/>
            <w:tcMar>
              <w:top w:w="150" w:type="dxa"/>
              <w:left w:w="0" w:type="dxa"/>
              <w:bottom w:w="150" w:type="dxa"/>
              <w:right w:w="0" w:type="dxa"/>
            </w:tcMar>
            <w:hideMark/>
          </w:tcPr>
          <w:p w14:paraId="67C82612"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Report outbreaks to your </w:t>
            </w:r>
            <w:hyperlink r:id="rId11" w:history="1">
              <w:r w:rsidRPr="00B518A0">
                <w:rPr>
                  <w:rStyle w:val="Hyperlink"/>
                  <w:rFonts w:asciiTheme="majorHAnsi" w:hAnsiTheme="majorHAnsi" w:cs="Arial"/>
                  <w:sz w:val="16"/>
                  <w:szCs w:val="16"/>
                </w:rPr>
                <w:t>local UKHSA health protection team</w:t>
              </w:r>
            </w:hyperlink>
            <w:r w:rsidRPr="00B518A0">
              <w:rPr>
                <w:rFonts w:asciiTheme="majorHAnsi" w:hAnsiTheme="majorHAnsi" w:cs="Arial"/>
                <w:sz w:val="16"/>
                <w:szCs w:val="16"/>
              </w:rPr>
              <w:t>.</w:t>
            </w:r>
            <w:r w:rsidRPr="00B518A0">
              <w:rPr>
                <w:rFonts w:asciiTheme="majorHAnsi" w:hAnsiTheme="majorHAnsi" w:cs="Arial"/>
                <w:sz w:val="16"/>
                <w:szCs w:val="16"/>
              </w:rPr>
              <w:br/>
            </w:r>
            <w:r w:rsidRPr="00B518A0">
              <w:rPr>
                <w:rFonts w:asciiTheme="majorHAnsi" w:hAnsiTheme="majorHAnsi" w:cs="Arial"/>
                <w:sz w:val="16"/>
                <w:szCs w:val="16"/>
              </w:rPr>
              <w:br/>
              <w:t>For more information, see </w:t>
            </w:r>
            <w:hyperlink r:id="rId12" w:history="1">
              <w:r w:rsidRPr="00B518A0">
                <w:rPr>
                  <w:rStyle w:val="Hyperlink"/>
                  <w:rFonts w:asciiTheme="majorHAnsi" w:hAnsiTheme="majorHAnsi" w:cs="Arial"/>
                  <w:sz w:val="16"/>
                  <w:szCs w:val="16"/>
                </w:rPr>
                <w:t>Managing outbreaks and incidents</w:t>
              </w:r>
            </w:hyperlink>
            <w:r w:rsidRPr="00B518A0">
              <w:rPr>
                <w:rFonts w:asciiTheme="majorHAnsi" w:hAnsiTheme="majorHAnsi" w:cs="Arial"/>
                <w:sz w:val="16"/>
                <w:szCs w:val="16"/>
              </w:rPr>
              <w:t>.</w:t>
            </w:r>
          </w:p>
        </w:tc>
      </w:tr>
      <w:tr w:rsidR="00B518A0" w:rsidRPr="00B518A0" w14:paraId="4FC91728" w14:textId="77777777" w:rsidTr="00B518A0">
        <w:tc>
          <w:tcPr>
            <w:tcW w:w="1985" w:type="dxa"/>
            <w:tcBorders>
              <w:bottom w:val="single" w:sz="6" w:space="0" w:color="B1B4B6"/>
            </w:tcBorders>
            <w:shd w:val="clear" w:color="auto" w:fill="FFFFFF"/>
            <w:tcMar>
              <w:top w:w="150" w:type="dxa"/>
              <w:left w:w="0" w:type="dxa"/>
              <w:bottom w:w="150" w:type="dxa"/>
              <w:right w:w="300" w:type="dxa"/>
            </w:tcMar>
            <w:hideMark/>
          </w:tcPr>
          <w:p w14:paraId="59DF5FD9"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Glandular fever</w:t>
            </w:r>
          </w:p>
        </w:tc>
        <w:tc>
          <w:tcPr>
            <w:tcW w:w="3544" w:type="dxa"/>
            <w:tcBorders>
              <w:bottom w:val="single" w:sz="6" w:space="0" w:color="B1B4B6"/>
            </w:tcBorders>
            <w:shd w:val="clear" w:color="auto" w:fill="FFFFFF"/>
            <w:tcMar>
              <w:top w:w="150" w:type="dxa"/>
              <w:left w:w="0" w:type="dxa"/>
              <w:bottom w:w="150" w:type="dxa"/>
              <w:right w:w="300" w:type="dxa"/>
            </w:tcMar>
            <w:hideMark/>
          </w:tcPr>
          <w:p w14:paraId="696CE6FD"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None</w:t>
            </w:r>
          </w:p>
        </w:tc>
        <w:tc>
          <w:tcPr>
            <w:tcW w:w="5159" w:type="dxa"/>
            <w:tcBorders>
              <w:bottom w:val="single" w:sz="6" w:space="0" w:color="B1B4B6"/>
            </w:tcBorders>
            <w:shd w:val="clear" w:color="auto" w:fill="FFFFFF"/>
            <w:tcMar>
              <w:top w:w="150" w:type="dxa"/>
              <w:left w:w="0" w:type="dxa"/>
              <w:bottom w:w="150" w:type="dxa"/>
              <w:right w:w="0" w:type="dxa"/>
            </w:tcMar>
            <w:hideMark/>
          </w:tcPr>
          <w:p w14:paraId="11E66BFA"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 </w:t>
            </w:r>
          </w:p>
        </w:tc>
      </w:tr>
      <w:tr w:rsidR="00B518A0" w:rsidRPr="00B518A0" w14:paraId="4B3081E2" w14:textId="77777777" w:rsidTr="00B518A0">
        <w:tc>
          <w:tcPr>
            <w:tcW w:w="1985" w:type="dxa"/>
            <w:tcBorders>
              <w:bottom w:val="single" w:sz="6" w:space="0" w:color="B1B4B6"/>
            </w:tcBorders>
            <w:shd w:val="clear" w:color="auto" w:fill="FFFFFF"/>
            <w:tcMar>
              <w:top w:w="150" w:type="dxa"/>
              <w:left w:w="0" w:type="dxa"/>
              <w:bottom w:w="150" w:type="dxa"/>
              <w:right w:w="300" w:type="dxa"/>
            </w:tcMar>
            <w:hideMark/>
          </w:tcPr>
          <w:p w14:paraId="2968A4D7"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Head lice</w:t>
            </w:r>
          </w:p>
        </w:tc>
        <w:tc>
          <w:tcPr>
            <w:tcW w:w="3544" w:type="dxa"/>
            <w:tcBorders>
              <w:bottom w:val="single" w:sz="6" w:space="0" w:color="B1B4B6"/>
            </w:tcBorders>
            <w:shd w:val="clear" w:color="auto" w:fill="FFFFFF"/>
            <w:tcMar>
              <w:top w:w="150" w:type="dxa"/>
              <w:left w:w="0" w:type="dxa"/>
              <w:bottom w:w="150" w:type="dxa"/>
              <w:right w:w="300" w:type="dxa"/>
            </w:tcMar>
            <w:hideMark/>
          </w:tcPr>
          <w:p w14:paraId="2E88A5F2"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None</w:t>
            </w:r>
          </w:p>
        </w:tc>
        <w:tc>
          <w:tcPr>
            <w:tcW w:w="5159" w:type="dxa"/>
            <w:tcBorders>
              <w:bottom w:val="single" w:sz="6" w:space="0" w:color="B1B4B6"/>
            </w:tcBorders>
            <w:shd w:val="clear" w:color="auto" w:fill="FFFFFF"/>
            <w:tcMar>
              <w:top w:w="150" w:type="dxa"/>
              <w:left w:w="0" w:type="dxa"/>
              <w:bottom w:w="150" w:type="dxa"/>
              <w:right w:w="0" w:type="dxa"/>
            </w:tcMar>
            <w:hideMark/>
          </w:tcPr>
          <w:p w14:paraId="4B530696"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 </w:t>
            </w:r>
          </w:p>
        </w:tc>
      </w:tr>
      <w:tr w:rsidR="00B518A0" w:rsidRPr="00B518A0" w14:paraId="4CB9DD07" w14:textId="77777777" w:rsidTr="00B518A0">
        <w:tc>
          <w:tcPr>
            <w:tcW w:w="1985" w:type="dxa"/>
            <w:tcBorders>
              <w:bottom w:val="single" w:sz="6" w:space="0" w:color="B1B4B6"/>
            </w:tcBorders>
            <w:shd w:val="clear" w:color="auto" w:fill="FFFFFF"/>
            <w:tcMar>
              <w:top w:w="150" w:type="dxa"/>
              <w:left w:w="0" w:type="dxa"/>
              <w:bottom w:w="150" w:type="dxa"/>
              <w:right w:w="300" w:type="dxa"/>
            </w:tcMar>
            <w:hideMark/>
          </w:tcPr>
          <w:p w14:paraId="1EF38954" w14:textId="58EE92DC" w:rsidR="00B518A0" w:rsidRPr="00B518A0" w:rsidRDefault="003425F7" w:rsidP="00B518A0">
            <w:pPr>
              <w:rPr>
                <w:rFonts w:asciiTheme="majorHAnsi" w:hAnsiTheme="majorHAnsi" w:cs="Arial"/>
                <w:sz w:val="16"/>
                <w:szCs w:val="16"/>
              </w:rPr>
            </w:pPr>
            <w:r w:rsidRPr="00B518A0">
              <w:rPr>
                <w:rFonts w:asciiTheme="majorHAnsi" w:hAnsiTheme="majorHAnsi" w:cs="Arial"/>
                <w:sz w:val="16"/>
                <w:szCs w:val="16"/>
              </w:rPr>
              <w:t>Hepatitis</w:t>
            </w:r>
            <w:r w:rsidR="00B518A0" w:rsidRPr="00B518A0">
              <w:rPr>
                <w:rFonts w:asciiTheme="majorHAnsi" w:hAnsiTheme="majorHAnsi" w:cs="Arial"/>
                <w:sz w:val="16"/>
                <w:szCs w:val="16"/>
              </w:rPr>
              <w:t xml:space="preserve"> A</w:t>
            </w:r>
          </w:p>
        </w:tc>
        <w:tc>
          <w:tcPr>
            <w:tcW w:w="3544" w:type="dxa"/>
            <w:tcBorders>
              <w:bottom w:val="single" w:sz="6" w:space="0" w:color="B1B4B6"/>
            </w:tcBorders>
            <w:shd w:val="clear" w:color="auto" w:fill="FFFFFF"/>
            <w:tcMar>
              <w:top w:w="150" w:type="dxa"/>
              <w:left w:w="0" w:type="dxa"/>
              <w:bottom w:w="150" w:type="dxa"/>
              <w:right w:w="300" w:type="dxa"/>
            </w:tcMar>
            <w:hideMark/>
          </w:tcPr>
          <w:p w14:paraId="7FE82744"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Exclude until 7 days after onset of jaundice (or 7 days after symptom onset if no jaundice).</w:t>
            </w:r>
          </w:p>
        </w:tc>
        <w:tc>
          <w:tcPr>
            <w:tcW w:w="5159" w:type="dxa"/>
            <w:tcBorders>
              <w:bottom w:val="single" w:sz="6" w:space="0" w:color="B1B4B6"/>
            </w:tcBorders>
            <w:shd w:val="clear" w:color="auto" w:fill="FFFFFF"/>
            <w:tcMar>
              <w:top w:w="150" w:type="dxa"/>
              <w:left w:w="0" w:type="dxa"/>
              <w:bottom w:w="150" w:type="dxa"/>
              <w:right w:w="0" w:type="dxa"/>
            </w:tcMar>
            <w:hideMark/>
          </w:tcPr>
          <w:p w14:paraId="08374E0C"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In an outbreak of hepatitis A, your </w:t>
            </w:r>
            <w:hyperlink r:id="rId13" w:history="1">
              <w:r w:rsidRPr="00B518A0">
                <w:rPr>
                  <w:rStyle w:val="Hyperlink"/>
                  <w:rFonts w:asciiTheme="majorHAnsi" w:hAnsiTheme="majorHAnsi" w:cs="Arial"/>
                  <w:sz w:val="16"/>
                  <w:szCs w:val="16"/>
                </w:rPr>
                <w:t>local UKHSA health protection team</w:t>
              </w:r>
            </w:hyperlink>
            <w:r w:rsidRPr="00B518A0">
              <w:rPr>
                <w:rFonts w:asciiTheme="majorHAnsi" w:hAnsiTheme="majorHAnsi" w:cs="Arial"/>
                <w:sz w:val="16"/>
                <w:szCs w:val="16"/>
              </w:rPr>
              <w:t> will advise on control measures.</w:t>
            </w:r>
          </w:p>
        </w:tc>
      </w:tr>
      <w:tr w:rsidR="00B518A0" w:rsidRPr="00B518A0" w14:paraId="3B25BFD5" w14:textId="77777777" w:rsidTr="00B518A0">
        <w:tc>
          <w:tcPr>
            <w:tcW w:w="1985" w:type="dxa"/>
            <w:tcBorders>
              <w:bottom w:val="single" w:sz="6" w:space="0" w:color="B1B4B6"/>
            </w:tcBorders>
            <w:shd w:val="clear" w:color="auto" w:fill="FFFFFF"/>
            <w:tcMar>
              <w:top w:w="150" w:type="dxa"/>
              <w:left w:w="0" w:type="dxa"/>
              <w:bottom w:w="150" w:type="dxa"/>
              <w:right w:w="300" w:type="dxa"/>
            </w:tcMar>
            <w:hideMark/>
          </w:tcPr>
          <w:p w14:paraId="11613800"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Hepatitis B, C, HIV</w:t>
            </w:r>
          </w:p>
        </w:tc>
        <w:tc>
          <w:tcPr>
            <w:tcW w:w="3544" w:type="dxa"/>
            <w:tcBorders>
              <w:bottom w:val="single" w:sz="6" w:space="0" w:color="B1B4B6"/>
            </w:tcBorders>
            <w:shd w:val="clear" w:color="auto" w:fill="FFFFFF"/>
            <w:tcMar>
              <w:top w:w="150" w:type="dxa"/>
              <w:left w:w="0" w:type="dxa"/>
              <w:bottom w:w="150" w:type="dxa"/>
              <w:right w:w="300" w:type="dxa"/>
            </w:tcMar>
            <w:hideMark/>
          </w:tcPr>
          <w:p w14:paraId="59AE2566"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None</w:t>
            </w:r>
          </w:p>
        </w:tc>
        <w:tc>
          <w:tcPr>
            <w:tcW w:w="5159" w:type="dxa"/>
            <w:tcBorders>
              <w:bottom w:val="single" w:sz="6" w:space="0" w:color="B1B4B6"/>
            </w:tcBorders>
            <w:shd w:val="clear" w:color="auto" w:fill="FFFFFF"/>
            <w:tcMar>
              <w:top w:w="150" w:type="dxa"/>
              <w:left w:w="0" w:type="dxa"/>
              <w:bottom w:w="150" w:type="dxa"/>
              <w:right w:w="0" w:type="dxa"/>
            </w:tcMar>
            <w:hideMark/>
          </w:tcPr>
          <w:p w14:paraId="08DDAC40" w14:textId="67DFC44C"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Hepatitis B and C and HIV are blood borne viruses that are n</w:t>
            </w:r>
            <w:r>
              <w:rPr>
                <w:rFonts w:asciiTheme="majorHAnsi" w:hAnsiTheme="majorHAnsi" w:cs="Arial"/>
                <w:sz w:val="16"/>
                <w:szCs w:val="16"/>
              </w:rPr>
              <w:t xml:space="preserve">ot                        </w:t>
            </w:r>
            <w:r w:rsidRPr="00B518A0">
              <w:rPr>
                <w:rFonts w:asciiTheme="majorHAnsi" w:hAnsiTheme="majorHAnsi" w:cs="Arial"/>
                <w:sz w:val="16"/>
                <w:szCs w:val="16"/>
              </w:rPr>
              <w:t xml:space="preserve"> infectious through casual contact.</w:t>
            </w:r>
            <w:r w:rsidRPr="00B518A0">
              <w:rPr>
                <w:rFonts w:asciiTheme="majorHAnsi" w:hAnsiTheme="majorHAnsi" w:cs="Arial"/>
                <w:sz w:val="16"/>
                <w:szCs w:val="16"/>
              </w:rPr>
              <w:br/>
            </w:r>
            <w:r w:rsidRPr="00B518A0">
              <w:rPr>
                <w:rFonts w:asciiTheme="majorHAnsi" w:hAnsiTheme="majorHAnsi" w:cs="Arial"/>
                <w:sz w:val="16"/>
                <w:szCs w:val="16"/>
              </w:rPr>
              <w:br/>
              <w:t>Contact your </w:t>
            </w:r>
            <w:hyperlink r:id="rId14" w:history="1">
              <w:r w:rsidRPr="00B518A0">
                <w:rPr>
                  <w:rStyle w:val="Hyperlink"/>
                  <w:rFonts w:asciiTheme="majorHAnsi" w:hAnsiTheme="majorHAnsi" w:cs="Arial"/>
                  <w:sz w:val="16"/>
                  <w:szCs w:val="16"/>
                </w:rPr>
                <w:t>local UKHSA health protection team</w:t>
              </w:r>
            </w:hyperlink>
            <w:r w:rsidRPr="00B518A0">
              <w:rPr>
                <w:rFonts w:asciiTheme="majorHAnsi" w:hAnsiTheme="majorHAnsi" w:cs="Arial"/>
                <w:sz w:val="16"/>
                <w:szCs w:val="16"/>
              </w:rPr>
              <w:t> for more advice.</w:t>
            </w:r>
          </w:p>
        </w:tc>
      </w:tr>
      <w:tr w:rsidR="00B518A0" w:rsidRPr="00B518A0" w14:paraId="5F92FC9A" w14:textId="77777777" w:rsidTr="00B518A0">
        <w:tc>
          <w:tcPr>
            <w:tcW w:w="1985" w:type="dxa"/>
            <w:tcBorders>
              <w:bottom w:val="single" w:sz="6" w:space="0" w:color="B1B4B6"/>
            </w:tcBorders>
            <w:shd w:val="clear" w:color="auto" w:fill="FFFFFF"/>
            <w:tcMar>
              <w:top w:w="150" w:type="dxa"/>
              <w:left w:w="0" w:type="dxa"/>
              <w:bottom w:w="150" w:type="dxa"/>
              <w:right w:w="300" w:type="dxa"/>
            </w:tcMar>
            <w:hideMark/>
          </w:tcPr>
          <w:p w14:paraId="323D2B24"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Impetigo</w:t>
            </w:r>
          </w:p>
        </w:tc>
        <w:tc>
          <w:tcPr>
            <w:tcW w:w="3544" w:type="dxa"/>
            <w:tcBorders>
              <w:bottom w:val="single" w:sz="6" w:space="0" w:color="B1B4B6"/>
            </w:tcBorders>
            <w:shd w:val="clear" w:color="auto" w:fill="FFFFFF"/>
            <w:tcMar>
              <w:top w:w="150" w:type="dxa"/>
              <w:left w:w="0" w:type="dxa"/>
              <w:bottom w:w="150" w:type="dxa"/>
              <w:right w:w="300" w:type="dxa"/>
            </w:tcMar>
            <w:hideMark/>
          </w:tcPr>
          <w:p w14:paraId="6FACD8F8"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Until lesions are crusted or healed, or 48 hours after starting antibiotic treatment.</w:t>
            </w:r>
          </w:p>
        </w:tc>
        <w:tc>
          <w:tcPr>
            <w:tcW w:w="5159" w:type="dxa"/>
            <w:tcBorders>
              <w:bottom w:val="single" w:sz="6" w:space="0" w:color="B1B4B6"/>
            </w:tcBorders>
            <w:shd w:val="clear" w:color="auto" w:fill="FFFFFF"/>
            <w:tcMar>
              <w:top w:w="150" w:type="dxa"/>
              <w:left w:w="0" w:type="dxa"/>
              <w:bottom w:w="150" w:type="dxa"/>
              <w:right w:w="0" w:type="dxa"/>
            </w:tcMar>
            <w:hideMark/>
          </w:tcPr>
          <w:p w14:paraId="550C9A94"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Antibiotic treatment speeds healing and reduces the infectious period.</w:t>
            </w:r>
          </w:p>
        </w:tc>
      </w:tr>
      <w:tr w:rsidR="00B518A0" w:rsidRPr="00B518A0" w14:paraId="5BC11A00" w14:textId="77777777" w:rsidTr="00B518A0">
        <w:tc>
          <w:tcPr>
            <w:tcW w:w="1985" w:type="dxa"/>
            <w:tcBorders>
              <w:bottom w:val="single" w:sz="6" w:space="0" w:color="B1B4B6"/>
            </w:tcBorders>
            <w:shd w:val="clear" w:color="auto" w:fill="FFFFFF"/>
            <w:tcMar>
              <w:top w:w="150" w:type="dxa"/>
              <w:left w:w="0" w:type="dxa"/>
              <w:bottom w:w="150" w:type="dxa"/>
              <w:right w:w="300" w:type="dxa"/>
            </w:tcMar>
            <w:hideMark/>
          </w:tcPr>
          <w:p w14:paraId="24F17BCF"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Measles</w:t>
            </w:r>
          </w:p>
        </w:tc>
        <w:tc>
          <w:tcPr>
            <w:tcW w:w="3544" w:type="dxa"/>
            <w:tcBorders>
              <w:bottom w:val="single" w:sz="6" w:space="0" w:color="B1B4B6"/>
            </w:tcBorders>
            <w:shd w:val="clear" w:color="auto" w:fill="FFFFFF"/>
            <w:tcMar>
              <w:top w:w="150" w:type="dxa"/>
              <w:left w:w="0" w:type="dxa"/>
              <w:bottom w:w="150" w:type="dxa"/>
              <w:right w:w="300" w:type="dxa"/>
            </w:tcMar>
            <w:hideMark/>
          </w:tcPr>
          <w:p w14:paraId="5F278233"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4 days from onset of rash and well enough.</w:t>
            </w:r>
          </w:p>
        </w:tc>
        <w:tc>
          <w:tcPr>
            <w:tcW w:w="5159" w:type="dxa"/>
            <w:tcBorders>
              <w:bottom w:val="single" w:sz="6" w:space="0" w:color="B1B4B6"/>
            </w:tcBorders>
            <w:shd w:val="clear" w:color="auto" w:fill="FFFFFF"/>
            <w:tcMar>
              <w:top w:w="150" w:type="dxa"/>
              <w:left w:w="0" w:type="dxa"/>
              <w:bottom w:w="150" w:type="dxa"/>
              <w:right w:w="0" w:type="dxa"/>
            </w:tcMar>
            <w:hideMark/>
          </w:tcPr>
          <w:p w14:paraId="09BABBBE" w14:textId="0A4C0BDF"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Preventable by vaccination with 2 doses of MMR.</w:t>
            </w:r>
            <w:r w:rsidRPr="00B518A0">
              <w:rPr>
                <w:rFonts w:asciiTheme="majorHAnsi" w:hAnsiTheme="majorHAnsi" w:cs="Arial"/>
                <w:sz w:val="16"/>
                <w:szCs w:val="16"/>
              </w:rPr>
              <w:br/>
            </w:r>
            <w:r w:rsidRPr="00B518A0">
              <w:rPr>
                <w:rFonts w:asciiTheme="majorHAnsi" w:hAnsiTheme="majorHAnsi" w:cs="Arial"/>
                <w:sz w:val="16"/>
                <w:szCs w:val="16"/>
              </w:rPr>
              <w:br/>
            </w:r>
            <w:r w:rsidRPr="00B518A0">
              <w:rPr>
                <w:rFonts w:asciiTheme="majorHAnsi" w:hAnsiTheme="majorHAnsi" w:cs="Arial"/>
                <w:sz w:val="16"/>
                <w:szCs w:val="16"/>
              </w:rPr>
              <w:lastRenderedPageBreak/>
              <w:t>Promote MMR for all individuals, including staff. Pregnant staff</w:t>
            </w:r>
            <w:r>
              <w:rPr>
                <w:rFonts w:asciiTheme="majorHAnsi" w:hAnsiTheme="majorHAnsi" w:cs="Arial"/>
                <w:sz w:val="16"/>
                <w:szCs w:val="16"/>
              </w:rPr>
              <w:t xml:space="preserve">                     </w:t>
            </w:r>
            <w:r w:rsidRPr="00B518A0">
              <w:rPr>
                <w:rFonts w:asciiTheme="majorHAnsi" w:hAnsiTheme="majorHAnsi" w:cs="Arial"/>
                <w:sz w:val="16"/>
                <w:szCs w:val="16"/>
              </w:rPr>
              <w:t xml:space="preserve"> contacts should seek prompt advice from their GP or midwife.</w:t>
            </w:r>
          </w:p>
        </w:tc>
      </w:tr>
      <w:tr w:rsidR="00B518A0" w:rsidRPr="00B518A0" w14:paraId="667B6ED1" w14:textId="77777777" w:rsidTr="00B518A0">
        <w:tc>
          <w:tcPr>
            <w:tcW w:w="1985" w:type="dxa"/>
            <w:tcBorders>
              <w:bottom w:val="single" w:sz="6" w:space="0" w:color="B1B4B6"/>
            </w:tcBorders>
            <w:shd w:val="clear" w:color="auto" w:fill="FFFFFF"/>
            <w:tcMar>
              <w:top w:w="150" w:type="dxa"/>
              <w:left w:w="0" w:type="dxa"/>
              <w:bottom w:w="150" w:type="dxa"/>
              <w:right w:w="300" w:type="dxa"/>
            </w:tcMar>
            <w:hideMark/>
          </w:tcPr>
          <w:p w14:paraId="1A0F51C3"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lastRenderedPageBreak/>
              <w:t>Meningococcal meningitis* or septicaemia*</w:t>
            </w:r>
          </w:p>
        </w:tc>
        <w:tc>
          <w:tcPr>
            <w:tcW w:w="3544" w:type="dxa"/>
            <w:tcBorders>
              <w:bottom w:val="single" w:sz="6" w:space="0" w:color="B1B4B6"/>
            </w:tcBorders>
            <w:shd w:val="clear" w:color="auto" w:fill="FFFFFF"/>
            <w:tcMar>
              <w:top w:w="150" w:type="dxa"/>
              <w:left w:w="0" w:type="dxa"/>
              <w:bottom w:w="150" w:type="dxa"/>
              <w:right w:w="300" w:type="dxa"/>
            </w:tcMar>
            <w:hideMark/>
          </w:tcPr>
          <w:p w14:paraId="58C05E8F"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Until recovered</w:t>
            </w:r>
          </w:p>
        </w:tc>
        <w:tc>
          <w:tcPr>
            <w:tcW w:w="5159" w:type="dxa"/>
            <w:tcBorders>
              <w:bottom w:val="single" w:sz="6" w:space="0" w:color="B1B4B6"/>
            </w:tcBorders>
            <w:shd w:val="clear" w:color="auto" w:fill="FFFFFF"/>
            <w:tcMar>
              <w:top w:w="150" w:type="dxa"/>
              <w:left w:w="0" w:type="dxa"/>
              <w:bottom w:w="150" w:type="dxa"/>
              <w:right w:w="0" w:type="dxa"/>
            </w:tcMar>
            <w:hideMark/>
          </w:tcPr>
          <w:p w14:paraId="66F8810B"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Meningitis ACWY and B are preventable by vaccination.</w:t>
            </w:r>
            <w:r w:rsidRPr="00B518A0">
              <w:rPr>
                <w:rFonts w:asciiTheme="majorHAnsi" w:hAnsiTheme="majorHAnsi" w:cs="Arial"/>
                <w:sz w:val="16"/>
                <w:szCs w:val="16"/>
              </w:rPr>
              <w:br/>
            </w:r>
            <w:r w:rsidRPr="00B518A0">
              <w:rPr>
                <w:rFonts w:asciiTheme="majorHAnsi" w:hAnsiTheme="majorHAnsi" w:cs="Arial"/>
                <w:sz w:val="16"/>
                <w:szCs w:val="16"/>
              </w:rPr>
              <w:br/>
              <w:t>Your </w:t>
            </w:r>
            <w:hyperlink r:id="rId15" w:history="1">
              <w:r w:rsidRPr="00B518A0">
                <w:rPr>
                  <w:rStyle w:val="Hyperlink"/>
                  <w:rFonts w:asciiTheme="majorHAnsi" w:hAnsiTheme="majorHAnsi" w:cs="Arial"/>
                  <w:sz w:val="16"/>
                  <w:szCs w:val="16"/>
                </w:rPr>
                <w:t>local UKHSA health protection team</w:t>
              </w:r>
            </w:hyperlink>
            <w:r w:rsidRPr="00B518A0">
              <w:rPr>
                <w:rFonts w:asciiTheme="majorHAnsi" w:hAnsiTheme="majorHAnsi" w:cs="Arial"/>
                <w:sz w:val="16"/>
                <w:szCs w:val="16"/>
              </w:rPr>
              <w:t> will advise on any action needed.</w:t>
            </w:r>
          </w:p>
        </w:tc>
      </w:tr>
      <w:tr w:rsidR="00B518A0" w:rsidRPr="00B518A0" w14:paraId="39EF1BF8" w14:textId="77777777" w:rsidTr="00B518A0">
        <w:tc>
          <w:tcPr>
            <w:tcW w:w="1985" w:type="dxa"/>
            <w:tcBorders>
              <w:bottom w:val="single" w:sz="6" w:space="0" w:color="B1B4B6"/>
            </w:tcBorders>
            <w:shd w:val="clear" w:color="auto" w:fill="FFFFFF"/>
            <w:tcMar>
              <w:top w:w="150" w:type="dxa"/>
              <w:left w:w="0" w:type="dxa"/>
              <w:bottom w:w="150" w:type="dxa"/>
              <w:right w:w="300" w:type="dxa"/>
            </w:tcMar>
            <w:hideMark/>
          </w:tcPr>
          <w:p w14:paraId="28573061"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Meningitis* due to other bacteria</w:t>
            </w:r>
          </w:p>
        </w:tc>
        <w:tc>
          <w:tcPr>
            <w:tcW w:w="3544" w:type="dxa"/>
            <w:tcBorders>
              <w:bottom w:val="single" w:sz="6" w:space="0" w:color="B1B4B6"/>
            </w:tcBorders>
            <w:shd w:val="clear" w:color="auto" w:fill="FFFFFF"/>
            <w:tcMar>
              <w:top w:w="150" w:type="dxa"/>
              <w:left w:w="0" w:type="dxa"/>
              <w:bottom w:w="150" w:type="dxa"/>
              <w:right w:w="300" w:type="dxa"/>
            </w:tcMar>
            <w:hideMark/>
          </w:tcPr>
          <w:p w14:paraId="33E7B4A8"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Until recovered</w:t>
            </w:r>
          </w:p>
        </w:tc>
        <w:tc>
          <w:tcPr>
            <w:tcW w:w="5159" w:type="dxa"/>
            <w:tcBorders>
              <w:bottom w:val="single" w:sz="6" w:space="0" w:color="B1B4B6"/>
            </w:tcBorders>
            <w:shd w:val="clear" w:color="auto" w:fill="FFFFFF"/>
            <w:tcMar>
              <w:top w:w="150" w:type="dxa"/>
              <w:left w:w="0" w:type="dxa"/>
              <w:bottom w:w="150" w:type="dxa"/>
              <w:right w:w="0" w:type="dxa"/>
            </w:tcMar>
            <w:hideMark/>
          </w:tcPr>
          <w:p w14:paraId="5B0A6C71"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Hib and pneumococcal meningitis are preventable by vaccination. Your </w:t>
            </w:r>
            <w:hyperlink r:id="rId16" w:history="1">
              <w:r w:rsidRPr="00B518A0">
                <w:rPr>
                  <w:rStyle w:val="Hyperlink"/>
                  <w:rFonts w:asciiTheme="majorHAnsi" w:hAnsiTheme="majorHAnsi" w:cs="Arial"/>
                  <w:sz w:val="16"/>
                  <w:szCs w:val="16"/>
                </w:rPr>
                <w:t>local UKHSA health protection team</w:t>
              </w:r>
            </w:hyperlink>
            <w:r w:rsidRPr="00B518A0">
              <w:rPr>
                <w:rFonts w:asciiTheme="majorHAnsi" w:hAnsiTheme="majorHAnsi" w:cs="Arial"/>
                <w:sz w:val="16"/>
                <w:szCs w:val="16"/>
              </w:rPr>
              <w:t> will advise on any action needed.</w:t>
            </w:r>
          </w:p>
        </w:tc>
      </w:tr>
      <w:tr w:rsidR="00B518A0" w:rsidRPr="00B518A0" w14:paraId="7F72267C" w14:textId="77777777" w:rsidTr="00B518A0">
        <w:tc>
          <w:tcPr>
            <w:tcW w:w="1985" w:type="dxa"/>
            <w:tcBorders>
              <w:bottom w:val="single" w:sz="6" w:space="0" w:color="B1B4B6"/>
            </w:tcBorders>
            <w:shd w:val="clear" w:color="auto" w:fill="FFFFFF"/>
            <w:tcMar>
              <w:top w:w="150" w:type="dxa"/>
              <w:left w:w="0" w:type="dxa"/>
              <w:bottom w:w="150" w:type="dxa"/>
              <w:right w:w="300" w:type="dxa"/>
            </w:tcMar>
            <w:hideMark/>
          </w:tcPr>
          <w:p w14:paraId="2510C8AB"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Meningitis viral</w:t>
            </w:r>
          </w:p>
        </w:tc>
        <w:tc>
          <w:tcPr>
            <w:tcW w:w="3544" w:type="dxa"/>
            <w:tcBorders>
              <w:bottom w:val="single" w:sz="6" w:space="0" w:color="B1B4B6"/>
            </w:tcBorders>
            <w:shd w:val="clear" w:color="auto" w:fill="FFFFFF"/>
            <w:tcMar>
              <w:top w:w="150" w:type="dxa"/>
              <w:left w:w="0" w:type="dxa"/>
              <w:bottom w:w="150" w:type="dxa"/>
              <w:right w:w="300" w:type="dxa"/>
            </w:tcMar>
            <w:hideMark/>
          </w:tcPr>
          <w:p w14:paraId="0FEF1E38"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None</w:t>
            </w:r>
          </w:p>
        </w:tc>
        <w:tc>
          <w:tcPr>
            <w:tcW w:w="5159" w:type="dxa"/>
            <w:tcBorders>
              <w:bottom w:val="single" w:sz="6" w:space="0" w:color="B1B4B6"/>
            </w:tcBorders>
            <w:shd w:val="clear" w:color="auto" w:fill="FFFFFF"/>
            <w:tcMar>
              <w:top w:w="150" w:type="dxa"/>
              <w:left w:w="0" w:type="dxa"/>
              <w:bottom w:w="150" w:type="dxa"/>
              <w:right w:w="0" w:type="dxa"/>
            </w:tcMar>
            <w:hideMark/>
          </w:tcPr>
          <w:p w14:paraId="6366F281" w14:textId="0B697C9B"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Milder illness than bacterial meningitis. Siblings and other close contacts</w:t>
            </w:r>
            <w:r>
              <w:rPr>
                <w:rFonts w:asciiTheme="majorHAnsi" w:hAnsiTheme="majorHAnsi" w:cs="Arial"/>
                <w:sz w:val="16"/>
                <w:szCs w:val="16"/>
              </w:rPr>
              <w:t xml:space="preserve">             </w:t>
            </w:r>
            <w:r w:rsidRPr="00B518A0">
              <w:rPr>
                <w:rFonts w:asciiTheme="majorHAnsi" w:hAnsiTheme="majorHAnsi" w:cs="Arial"/>
                <w:sz w:val="16"/>
                <w:szCs w:val="16"/>
              </w:rPr>
              <w:t xml:space="preserve"> of a case need not be excluded.</w:t>
            </w:r>
          </w:p>
        </w:tc>
      </w:tr>
      <w:tr w:rsidR="00B518A0" w:rsidRPr="00B518A0" w14:paraId="05128555" w14:textId="77777777" w:rsidTr="00B518A0">
        <w:tc>
          <w:tcPr>
            <w:tcW w:w="1985" w:type="dxa"/>
            <w:tcBorders>
              <w:bottom w:val="single" w:sz="6" w:space="0" w:color="B1B4B6"/>
            </w:tcBorders>
            <w:shd w:val="clear" w:color="auto" w:fill="FFFFFF"/>
            <w:tcMar>
              <w:top w:w="150" w:type="dxa"/>
              <w:left w:w="0" w:type="dxa"/>
              <w:bottom w:w="150" w:type="dxa"/>
              <w:right w:w="300" w:type="dxa"/>
            </w:tcMar>
            <w:hideMark/>
          </w:tcPr>
          <w:p w14:paraId="593B6B44"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Mpox</w:t>
            </w:r>
          </w:p>
        </w:tc>
        <w:tc>
          <w:tcPr>
            <w:tcW w:w="3544" w:type="dxa"/>
            <w:tcBorders>
              <w:bottom w:val="single" w:sz="6" w:space="0" w:color="B1B4B6"/>
            </w:tcBorders>
            <w:shd w:val="clear" w:color="auto" w:fill="FFFFFF"/>
            <w:tcMar>
              <w:top w:w="150" w:type="dxa"/>
              <w:left w:w="0" w:type="dxa"/>
              <w:bottom w:w="150" w:type="dxa"/>
              <w:right w:w="300" w:type="dxa"/>
            </w:tcMar>
            <w:hideMark/>
          </w:tcPr>
          <w:p w14:paraId="578EF23C"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Until confirmed safe to return by their clinician or in line with </w:t>
            </w:r>
            <w:hyperlink r:id="rId17" w:history="1">
              <w:r w:rsidRPr="00B518A0">
                <w:rPr>
                  <w:rStyle w:val="Hyperlink"/>
                  <w:rFonts w:asciiTheme="majorHAnsi" w:hAnsiTheme="majorHAnsi" w:cs="Arial"/>
                  <w:sz w:val="16"/>
                  <w:szCs w:val="16"/>
                </w:rPr>
                <w:t>any current guidance.</w:t>
              </w:r>
            </w:hyperlink>
          </w:p>
        </w:tc>
        <w:tc>
          <w:tcPr>
            <w:tcW w:w="5159" w:type="dxa"/>
            <w:tcBorders>
              <w:bottom w:val="single" w:sz="6" w:space="0" w:color="B1B4B6"/>
            </w:tcBorders>
            <w:shd w:val="clear" w:color="auto" w:fill="FFFFFF"/>
            <w:tcMar>
              <w:top w:w="150" w:type="dxa"/>
              <w:left w:w="0" w:type="dxa"/>
              <w:bottom w:w="150" w:type="dxa"/>
              <w:right w:w="0" w:type="dxa"/>
            </w:tcMar>
            <w:hideMark/>
          </w:tcPr>
          <w:p w14:paraId="21EFBC2B" w14:textId="42FCA940"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Contact your </w:t>
            </w:r>
            <w:hyperlink r:id="rId18" w:history="1">
              <w:r w:rsidRPr="00B518A0">
                <w:rPr>
                  <w:rStyle w:val="Hyperlink"/>
                  <w:rFonts w:asciiTheme="majorHAnsi" w:hAnsiTheme="majorHAnsi" w:cs="Arial"/>
                  <w:sz w:val="16"/>
                  <w:szCs w:val="16"/>
                </w:rPr>
                <w:t>UKHSA health protection team</w:t>
              </w:r>
            </w:hyperlink>
            <w:r w:rsidRPr="00B518A0">
              <w:rPr>
                <w:rFonts w:asciiTheme="majorHAnsi" w:hAnsiTheme="majorHAnsi" w:cs="Arial"/>
                <w:sz w:val="16"/>
                <w:szCs w:val="16"/>
              </w:rPr>
              <w:t> for further advice on</w:t>
            </w:r>
            <w:r>
              <w:rPr>
                <w:rFonts w:asciiTheme="majorHAnsi" w:hAnsiTheme="majorHAnsi" w:cs="Arial"/>
                <w:sz w:val="16"/>
                <w:szCs w:val="16"/>
              </w:rPr>
              <w:t xml:space="preserve">      </w:t>
            </w:r>
            <w:r w:rsidRPr="00B518A0">
              <w:rPr>
                <w:rFonts w:asciiTheme="majorHAnsi" w:hAnsiTheme="majorHAnsi" w:cs="Arial"/>
                <w:sz w:val="16"/>
                <w:szCs w:val="16"/>
              </w:rPr>
              <w:t xml:space="preserve"> management and support for anyone considered a close contact of the confirmed case.</w:t>
            </w:r>
          </w:p>
        </w:tc>
      </w:tr>
      <w:tr w:rsidR="00B518A0" w:rsidRPr="00B518A0" w14:paraId="3526D8BD" w14:textId="77777777" w:rsidTr="00B518A0">
        <w:tc>
          <w:tcPr>
            <w:tcW w:w="1985" w:type="dxa"/>
            <w:tcBorders>
              <w:bottom w:val="single" w:sz="6" w:space="0" w:color="B1B4B6"/>
            </w:tcBorders>
            <w:shd w:val="clear" w:color="auto" w:fill="FFFFFF"/>
            <w:tcMar>
              <w:top w:w="150" w:type="dxa"/>
              <w:left w:w="0" w:type="dxa"/>
              <w:bottom w:w="150" w:type="dxa"/>
              <w:right w:w="300" w:type="dxa"/>
            </w:tcMar>
            <w:hideMark/>
          </w:tcPr>
          <w:p w14:paraId="3291BAD6"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MRSA</w:t>
            </w:r>
          </w:p>
        </w:tc>
        <w:tc>
          <w:tcPr>
            <w:tcW w:w="3544" w:type="dxa"/>
            <w:tcBorders>
              <w:bottom w:val="single" w:sz="6" w:space="0" w:color="B1B4B6"/>
            </w:tcBorders>
            <w:shd w:val="clear" w:color="auto" w:fill="FFFFFF"/>
            <w:tcMar>
              <w:top w:w="150" w:type="dxa"/>
              <w:left w:w="0" w:type="dxa"/>
              <w:bottom w:w="150" w:type="dxa"/>
              <w:right w:w="300" w:type="dxa"/>
            </w:tcMar>
            <w:hideMark/>
          </w:tcPr>
          <w:p w14:paraId="1BB97CFC"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None</w:t>
            </w:r>
          </w:p>
        </w:tc>
        <w:tc>
          <w:tcPr>
            <w:tcW w:w="5159" w:type="dxa"/>
            <w:tcBorders>
              <w:bottom w:val="single" w:sz="6" w:space="0" w:color="B1B4B6"/>
            </w:tcBorders>
            <w:shd w:val="clear" w:color="auto" w:fill="FFFFFF"/>
            <w:tcMar>
              <w:top w:w="150" w:type="dxa"/>
              <w:left w:w="0" w:type="dxa"/>
              <w:bottom w:w="150" w:type="dxa"/>
              <w:right w:w="0" w:type="dxa"/>
            </w:tcMar>
            <w:hideMark/>
          </w:tcPr>
          <w:p w14:paraId="35FC8FD6"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Good hygiene, in particular handwashing and environmental cleaning, are important to minimise spread.</w:t>
            </w:r>
            <w:r w:rsidRPr="00B518A0">
              <w:rPr>
                <w:rFonts w:asciiTheme="majorHAnsi" w:hAnsiTheme="majorHAnsi" w:cs="Arial"/>
                <w:sz w:val="16"/>
                <w:szCs w:val="16"/>
              </w:rPr>
              <w:br/>
              <w:t>Contact your </w:t>
            </w:r>
            <w:hyperlink r:id="rId19" w:history="1">
              <w:r w:rsidRPr="00B518A0">
                <w:rPr>
                  <w:rStyle w:val="Hyperlink"/>
                  <w:rFonts w:asciiTheme="majorHAnsi" w:hAnsiTheme="majorHAnsi" w:cs="Arial"/>
                  <w:sz w:val="16"/>
                  <w:szCs w:val="16"/>
                </w:rPr>
                <w:t>local UKHSA health protection team</w:t>
              </w:r>
            </w:hyperlink>
            <w:r w:rsidRPr="00B518A0">
              <w:rPr>
                <w:rFonts w:asciiTheme="majorHAnsi" w:hAnsiTheme="majorHAnsi" w:cs="Arial"/>
                <w:sz w:val="16"/>
                <w:szCs w:val="16"/>
              </w:rPr>
              <w:t> for more information.</w:t>
            </w:r>
          </w:p>
        </w:tc>
      </w:tr>
      <w:tr w:rsidR="00B518A0" w:rsidRPr="00B518A0" w14:paraId="38BC5A90" w14:textId="77777777" w:rsidTr="00B518A0">
        <w:tc>
          <w:tcPr>
            <w:tcW w:w="1985" w:type="dxa"/>
            <w:tcBorders>
              <w:bottom w:val="single" w:sz="6" w:space="0" w:color="B1B4B6"/>
            </w:tcBorders>
            <w:shd w:val="clear" w:color="auto" w:fill="FFFFFF"/>
            <w:tcMar>
              <w:top w:w="150" w:type="dxa"/>
              <w:left w:w="0" w:type="dxa"/>
              <w:bottom w:w="150" w:type="dxa"/>
              <w:right w:w="300" w:type="dxa"/>
            </w:tcMar>
            <w:hideMark/>
          </w:tcPr>
          <w:p w14:paraId="2E5595E4"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Mumps*</w:t>
            </w:r>
          </w:p>
        </w:tc>
        <w:tc>
          <w:tcPr>
            <w:tcW w:w="3544" w:type="dxa"/>
            <w:tcBorders>
              <w:bottom w:val="single" w:sz="6" w:space="0" w:color="B1B4B6"/>
            </w:tcBorders>
            <w:shd w:val="clear" w:color="auto" w:fill="FFFFFF"/>
            <w:tcMar>
              <w:top w:w="150" w:type="dxa"/>
              <w:left w:w="0" w:type="dxa"/>
              <w:bottom w:w="150" w:type="dxa"/>
              <w:right w:w="300" w:type="dxa"/>
            </w:tcMar>
            <w:hideMark/>
          </w:tcPr>
          <w:p w14:paraId="24640D64"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5 days after onset of swelling</w:t>
            </w:r>
          </w:p>
        </w:tc>
        <w:tc>
          <w:tcPr>
            <w:tcW w:w="5159" w:type="dxa"/>
            <w:tcBorders>
              <w:bottom w:val="single" w:sz="6" w:space="0" w:color="B1B4B6"/>
            </w:tcBorders>
            <w:shd w:val="clear" w:color="auto" w:fill="FFFFFF"/>
            <w:tcMar>
              <w:top w:w="150" w:type="dxa"/>
              <w:left w:w="0" w:type="dxa"/>
              <w:bottom w:w="150" w:type="dxa"/>
              <w:right w:w="0" w:type="dxa"/>
            </w:tcMar>
            <w:hideMark/>
          </w:tcPr>
          <w:p w14:paraId="2D628CB2"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Preventable by vaccination with 2 doses of MMR. Promote MMR for all individuals, including staff.</w:t>
            </w:r>
          </w:p>
        </w:tc>
      </w:tr>
      <w:tr w:rsidR="00B518A0" w:rsidRPr="00B518A0" w14:paraId="27C973E7" w14:textId="77777777" w:rsidTr="00B518A0">
        <w:tc>
          <w:tcPr>
            <w:tcW w:w="1985" w:type="dxa"/>
            <w:tcBorders>
              <w:bottom w:val="single" w:sz="6" w:space="0" w:color="B1B4B6"/>
            </w:tcBorders>
            <w:shd w:val="clear" w:color="auto" w:fill="FFFFFF"/>
            <w:tcMar>
              <w:top w:w="150" w:type="dxa"/>
              <w:left w:w="0" w:type="dxa"/>
              <w:bottom w:w="150" w:type="dxa"/>
              <w:right w:w="300" w:type="dxa"/>
            </w:tcMar>
            <w:hideMark/>
          </w:tcPr>
          <w:p w14:paraId="2CEB0E3F"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Ringworm</w:t>
            </w:r>
          </w:p>
        </w:tc>
        <w:tc>
          <w:tcPr>
            <w:tcW w:w="3544" w:type="dxa"/>
            <w:tcBorders>
              <w:bottom w:val="single" w:sz="6" w:space="0" w:color="B1B4B6"/>
            </w:tcBorders>
            <w:shd w:val="clear" w:color="auto" w:fill="FFFFFF"/>
            <w:tcMar>
              <w:top w:w="150" w:type="dxa"/>
              <w:left w:w="0" w:type="dxa"/>
              <w:bottom w:w="150" w:type="dxa"/>
              <w:right w:w="300" w:type="dxa"/>
            </w:tcMar>
            <w:hideMark/>
          </w:tcPr>
          <w:p w14:paraId="508E48BF"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Not usually required</w:t>
            </w:r>
          </w:p>
        </w:tc>
        <w:tc>
          <w:tcPr>
            <w:tcW w:w="5159" w:type="dxa"/>
            <w:tcBorders>
              <w:bottom w:val="single" w:sz="6" w:space="0" w:color="B1B4B6"/>
            </w:tcBorders>
            <w:shd w:val="clear" w:color="auto" w:fill="FFFFFF"/>
            <w:tcMar>
              <w:top w:w="150" w:type="dxa"/>
              <w:left w:w="0" w:type="dxa"/>
              <w:bottom w:w="150" w:type="dxa"/>
              <w:right w:w="0" w:type="dxa"/>
            </w:tcMar>
            <w:hideMark/>
          </w:tcPr>
          <w:p w14:paraId="7D89BA9F"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Treatment is needed.</w:t>
            </w:r>
          </w:p>
        </w:tc>
      </w:tr>
      <w:tr w:rsidR="00B518A0" w:rsidRPr="00B518A0" w14:paraId="5A4FB92F" w14:textId="77777777" w:rsidTr="00B518A0">
        <w:tc>
          <w:tcPr>
            <w:tcW w:w="1985" w:type="dxa"/>
            <w:tcBorders>
              <w:bottom w:val="single" w:sz="6" w:space="0" w:color="B1B4B6"/>
            </w:tcBorders>
            <w:shd w:val="clear" w:color="auto" w:fill="FFFFFF"/>
            <w:tcMar>
              <w:top w:w="150" w:type="dxa"/>
              <w:left w:w="0" w:type="dxa"/>
              <w:bottom w:w="150" w:type="dxa"/>
              <w:right w:w="300" w:type="dxa"/>
            </w:tcMar>
            <w:hideMark/>
          </w:tcPr>
          <w:p w14:paraId="76702E6B"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Rubella* (German measles)</w:t>
            </w:r>
          </w:p>
        </w:tc>
        <w:tc>
          <w:tcPr>
            <w:tcW w:w="3544" w:type="dxa"/>
            <w:tcBorders>
              <w:bottom w:val="single" w:sz="6" w:space="0" w:color="B1B4B6"/>
            </w:tcBorders>
            <w:shd w:val="clear" w:color="auto" w:fill="FFFFFF"/>
            <w:tcMar>
              <w:top w:w="150" w:type="dxa"/>
              <w:left w:w="0" w:type="dxa"/>
              <w:bottom w:w="150" w:type="dxa"/>
              <w:right w:w="300" w:type="dxa"/>
            </w:tcMar>
            <w:hideMark/>
          </w:tcPr>
          <w:p w14:paraId="48B1C657"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5 days from onset of rash</w:t>
            </w:r>
          </w:p>
        </w:tc>
        <w:tc>
          <w:tcPr>
            <w:tcW w:w="5159" w:type="dxa"/>
            <w:tcBorders>
              <w:bottom w:val="single" w:sz="6" w:space="0" w:color="B1B4B6"/>
            </w:tcBorders>
            <w:shd w:val="clear" w:color="auto" w:fill="FFFFFF"/>
            <w:tcMar>
              <w:top w:w="150" w:type="dxa"/>
              <w:left w:w="0" w:type="dxa"/>
              <w:bottom w:w="150" w:type="dxa"/>
              <w:right w:w="0" w:type="dxa"/>
            </w:tcMar>
            <w:hideMark/>
          </w:tcPr>
          <w:p w14:paraId="6712E107" w14:textId="6029E805"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Preventable by vaccination with 2 doses of MMR.</w:t>
            </w:r>
            <w:r w:rsidRPr="00B518A0">
              <w:rPr>
                <w:rFonts w:asciiTheme="majorHAnsi" w:hAnsiTheme="majorHAnsi" w:cs="Arial"/>
                <w:sz w:val="16"/>
                <w:szCs w:val="16"/>
              </w:rPr>
              <w:br/>
              <w:t xml:space="preserve">Promote MMR for all individuals, including staff. Pregnant staff contacts </w:t>
            </w:r>
            <w:r>
              <w:rPr>
                <w:rFonts w:asciiTheme="majorHAnsi" w:hAnsiTheme="majorHAnsi" w:cs="Arial"/>
                <w:sz w:val="16"/>
                <w:szCs w:val="16"/>
              </w:rPr>
              <w:t xml:space="preserve">    </w:t>
            </w:r>
            <w:r w:rsidRPr="00B518A0">
              <w:rPr>
                <w:rFonts w:asciiTheme="majorHAnsi" w:hAnsiTheme="majorHAnsi" w:cs="Arial"/>
                <w:sz w:val="16"/>
                <w:szCs w:val="16"/>
              </w:rPr>
              <w:t>should seek prompt advice from their GP or midwife.</w:t>
            </w:r>
          </w:p>
        </w:tc>
      </w:tr>
      <w:tr w:rsidR="00B518A0" w:rsidRPr="00B518A0" w14:paraId="3C29F015" w14:textId="77777777" w:rsidTr="00B518A0">
        <w:trPr>
          <w:trHeight w:val="1361"/>
        </w:trPr>
        <w:tc>
          <w:tcPr>
            <w:tcW w:w="1985" w:type="dxa"/>
            <w:tcBorders>
              <w:bottom w:val="single" w:sz="6" w:space="0" w:color="B1B4B6"/>
            </w:tcBorders>
            <w:shd w:val="clear" w:color="auto" w:fill="FFFFFF"/>
            <w:tcMar>
              <w:top w:w="150" w:type="dxa"/>
              <w:left w:w="0" w:type="dxa"/>
              <w:bottom w:w="150" w:type="dxa"/>
              <w:right w:w="300" w:type="dxa"/>
            </w:tcMar>
            <w:hideMark/>
          </w:tcPr>
          <w:p w14:paraId="3F8032A4"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Scabies</w:t>
            </w:r>
          </w:p>
        </w:tc>
        <w:tc>
          <w:tcPr>
            <w:tcW w:w="3544" w:type="dxa"/>
            <w:tcBorders>
              <w:bottom w:val="single" w:sz="6" w:space="0" w:color="B1B4B6"/>
            </w:tcBorders>
            <w:shd w:val="clear" w:color="auto" w:fill="FFFFFF"/>
            <w:tcMar>
              <w:top w:w="150" w:type="dxa"/>
              <w:left w:w="0" w:type="dxa"/>
              <w:bottom w:w="150" w:type="dxa"/>
              <w:right w:w="300" w:type="dxa"/>
            </w:tcMar>
            <w:hideMark/>
          </w:tcPr>
          <w:p w14:paraId="34238D01"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None (to avoid close physical contact with others until 24 hours after the first dose of chosen treatment). Those unable to adhere to this advice (such as under 5 years or additional needs), should be excluded until 24 hours after the first dose of chosen treatment.</w:t>
            </w:r>
          </w:p>
        </w:tc>
        <w:tc>
          <w:tcPr>
            <w:tcW w:w="5159" w:type="dxa"/>
            <w:tcBorders>
              <w:bottom w:val="single" w:sz="6" w:space="0" w:color="B1B4B6"/>
            </w:tcBorders>
            <w:shd w:val="clear" w:color="auto" w:fill="FFFFFF"/>
            <w:tcMar>
              <w:top w:w="150" w:type="dxa"/>
              <w:left w:w="0" w:type="dxa"/>
              <w:bottom w:w="150" w:type="dxa"/>
              <w:right w:w="0" w:type="dxa"/>
            </w:tcMar>
            <w:hideMark/>
          </w:tcPr>
          <w:p w14:paraId="52E52785"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Household and close contacts require treatment at the same time.</w:t>
            </w:r>
          </w:p>
        </w:tc>
      </w:tr>
      <w:tr w:rsidR="00B518A0" w:rsidRPr="00B518A0" w14:paraId="48A66C3A" w14:textId="77777777" w:rsidTr="00B518A0">
        <w:tc>
          <w:tcPr>
            <w:tcW w:w="1985" w:type="dxa"/>
            <w:tcBorders>
              <w:bottom w:val="single" w:sz="6" w:space="0" w:color="B1B4B6"/>
            </w:tcBorders>
            <w:shd w:val="clear" w:color="auto" w:fill="FFFFFF"/>
            <w:tcMar>
              <w:top w:w="150" w:type="dxa"/>
              <w:left w:w="0" w:type="dxa"/>
              <w:bottom w:w="150" w:type="dxa"/>
              <w:right w:w="300" w:type="dxa"/>
            </w:tcMar>
            <w:hideMark/>
          </w:tcPr>
          <w:p w14:paraId="2FEC3C82"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Scarlet fever*</w:t>
            </w:r>
          </w:p>
        </w:tc>
        <w:tc>
          <w:tcPr>
            <w:tcW w:w="3544" w:type="dxa"/>
            <w:tcBorders>
              <w:bottom w:val="single" w:sz="6" w:space="0" w:color="B1B4B6"/>
            </w:tcBorders>
            <w:shd w:val="clear" w:color="auto" w:fill="FFFFFF"/>
            <w:tcMar>
              <w:top w:w="150" w:type="dxa"/>
              <w:left w:w="0" w:type="dxa"/>
              <w:bottom w:w="150" w:type="dxa"/>
              <w:right w:w="300" w:type="dxa"/>
            </w:tcMar>
            <w:hideMark/>
          </w:tcPr>
          <w:p w14:paraId="14DA09C4"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Exclude until 24 hours after starting antibiotic treatment.</w:t>
            </w:r>
          </w:p>
        </w:tc>
        <w:tc>
          <w:tcPr>
            <w:tcW w:w="5159" w:type="dxa"/>
            <w:tcBorders>
              <w:bottom w:val="single" w:sz="6" w:space="0" w:color="B1B4B6"/>
            </w:tcBorders>
            <w:shd w:val="clear" w:color="auto" w:fill="FFFFFF"/>
            <w:tcMar>
              <w:top w:w="150" w:type="dxa"/>
              <w:left w:w="0" w:type="dxa"/>
              <w:bottom w:w="150" w:type="dxa"/>
              <w:right w:w="0" w:type="dxa"/>
            </w:tcMar>
            <w:hideMark/>
          </w:tcPr>
          <w:p w14:paraId="0BB56312"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Individuals who decline treatment with antibiotics should be excluded until resolution of symptoms. In the event of 2 or more suspected cases, please contact your </w:t>
            </w:r>
            <w:hyperlink r:id="rId20" w:history="1">
              <w:r w:rsidRPr="00B518A0">
                <w:rPr>
                  <w:rStyle w:val="Hyperlink"/>
                  <w:rFonts w:asciiTheme="majorHAnsi" w:hAnsiTheme="majorHAnsi" w:cs="Arial"/>
                  <w:sz w:val="16"/>
                  <w:szCs w:val="16"/>
                </w:rPr>
                <w:t>local UKHSA health protection team</w:t>
              </w:r>
            </w:hyperlink>
            <w:r w:rsidRPr="00B518A0">
              <w:rPr>
                <w:rFonts w:asciiTheme="majorHAnsi" w:hAnsiTheme="majorHAnsi" w:cs="Arial"/>
                <w:sz w:val="16"/>
                <w:szCs w:val="16"/>
              </w:rPr>
              <w:t>.</w:t>
            </w:r>
          </w:p>
        </w:tc>
      </w:tr>
      <w:tr w:rsidR="00B518A0" w:rsidRPr="00B518A0" w14:paraId="239DA2DF" w14:textId="77777777" w:rsidTr="00B518A0">
        <w:tc>
          <w:tcPr>
            <w:tcW w:w="1985" w:type="dxa"/>
            <w:tcBorders>
              <w:bottom w:val="single" w:sz="6" w:space="0" w:color="B1B4B6"/>
            </w:tcBorders>
            <w:shd w:val="clear" w:color="auto" w:fill="FFFFFF"/>
            <w:tcMar>
              <w:top w:w="150" w:type="dxa"/>
              <w:left w:w="0" w:type="dxa"/>
              <w:bottom w:w="150" w:type="dxa"/>
              <w:right w:w="300" w:type="dxa"/>
            </w:tcMar>
            <w:hideMark/>
          </w:tcPr>
          <w:p w14:paraId="3392B9DF"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lastRenderedPageBreak/>
              <w:t>Slapped cheek/Fifth disease/Parvovirus B19</w:t>
            </w:r>
          </w:p>
        </w:tc>
        <w:tc>
          <w:tcPr>
            <w:tcW w:w="3544" w:type="dxa"/>
            <w:tcBorders>
              <w:bottom w:val="single" w:sz="6" w:space="0" w:color="B1B4B6"/>
            </w:tcBorders>
            <w:shd w:val="clear" w:color="auto" w:fill="FFFFFF"/>
            <w:tcMar>
              <w:top w:w="150" w:type="dxa"/>
              <w:left w:w="0" w:type="dxa"/>
              <w:bottom w:w="150" w:type="dxa"/>
              <w:right w:w="300" w:type="dxa"/>
            </w:tcMar>
            <w:hideMark/>
          </w:tcPr>
          <w:p w14:paraId="1EF180D2"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None (once rash has developed)</w:t>
            </w:r>
          </w:p>
        </w:tc>
        <w:tc>
          <w:tcPr>
            <w:tcW w:w="5159" w:type="dxa"/>
            <w:tcBorders>
              <w:bottom w:val="single" w:sz="6" w:space="0" w:color="B1B4B6"/>
            </w:tcBorders>
            <w:shd w:val="clear" w:color="auto" w:fill="FFFFFF"/>
            <w:tcMar>
              <w:top w:w="150" w:type="dxa"/>
              <w:left w:w="0" w:type="dxa"/>
              <w:bottom w:w="150" w:type="dxa"/>
              <w:right w:w="0" w:type="dxa"/>
            </w:tcMar>
            <w:hideMark/>
          </w:tcPr>
          <w:p w14:paraId="31E7C5D7"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Pregnant contacts of case should consult with their GP or midwife.</w:t>
            </w:r>
          </w:p>
        </w:tc>
      </w:tr>
      <w:tr w:rsidR="00B518A0" w:rsidRPr="00B518A0" w14:paraId="2134DCE7" w14:textId="77777777" w:rsidTr="00B518A0">
        <w:tc>
          <w:tcPr>
            <w:tcW w:w="1985" w:type="dxa"/>
            <w:tcBorders>
              <w:bottom w:val="single" w:sz="6" w:space="0" w:color="B1B4B6"/>
            </w:tcBorders>
            <w:shd w:val="clear" w:color="auto" w:fill="FFFFFF"/>
            <w:tcMar>
              <w:top w:w="150" w:type="dxa"/>
              <w:left w:w="0" w:type="dxa"/>
              <w:bottom w:w="150" w:type="dxa"/>
              <w:right w:w="300" w:type="dxa"/>
            </w:tcMar>
            <w:hideMark/>
          </w:tcPr>
          <w:p w14:paraId="717E0FB6"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Threadworms</w:t>
            </w:r>
          </w:p>
        </w:tc>
        <w:tc>
          <w:tcPr>
            <w:tcW w:w="3544" w:type="dxa"/>
            <w:tcBorders>
              <w:bottom w:val="single" w:sz="6" w:space="0" w:color="B1B4B6"/>
            </w:tcBorders>
            <w:shd w:val="clear" w:color="auto" w:fill="FFFFFF"/>
            <w:tcMar>
              <w:top w:w="150" w:type="dxa"/>
              <w:left w:w="0" w:type="dxa"/>
              <w:bottom w:w="150" w:type="dxa"/>
              <w:right w:w="300" w:type="dxa"/>
            </w:tcMar>
            <w:hideMark/>
          </w:tcPr>
          <w:p w14:paraId="0C2DBCFF"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None</w:t>
            </w:r>
          </w:p>
        </w:tc>
        <w:tc>
          <w:tcPr>
            <w:tcW w:w="5159" w:type="dxa"/>
            <w:tcBorders>
              <w:bottom w:val="single" w:sz="6" w:space="0" w:color="B1B4B6"/>
            </w:tcBorders>
            <w:shd w:val="clear" w:color="auto" w:fill="FFFFFF"/>
            <w:tcMar>
              <w:top w:w="150" w:type="dxa"/>
              <w:left w:w="0" w:type="dxa"/>
              <w:bottom w:w="150" w:type="dxa"/>
              <w:right w:w="0" w:type="dxa"/>
            </w:tcMar>
            <w:hideMark/>
          </w:tcPr>
          <w:p w14:paraId="51B82A20"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Treatment recommended for child and household.</w:t>
            </w:r>
          </w:p>
        </w:tc>
      </w:tr>
      <w:tr w:rsidR="003425F7" w:rsidRPr="00B518A0" w14:paraId="445D2934" w14:textId="77777777" w:rsidTr="00B518A0">
        <w:tc>
          <w:tcPr>
            <w:tcW w:w="1985" w:type="dxa"/>
            <w:tcBorders>
              <w:bottom w:val="single" w:sz="6" w:space="0" w:color="B1B4B6"/>
            </w:tcBorders>
            <w:shd w:val="clear" w:color="auto" w:fill="FFFFFF"/>
            <w:tcMar>
              <w:top w:w="150" w:type="dxa"/>
              <w:left w:w="0" w:type="dxa"/>
              <w:bottom w:w="150" w:type="dxa"/>
              <w:right w:w="300" w:type="dxa"/>
            </w:tcMar>
          </w:tcPr>
          <w:p w14:paraId="39C54839" w14:textId="77777777" w:rsidR="003425F7" w:rsidRPr="00B518A0" w:rsidRDefault="003425F7" w:rsidP="00B518A0">
            <w:pPr>
              <w:rPr>
                <w:rFonts w:asciiTheme="majorHAnsi" w:hAnsiTheme="majorHAnsi" w:cs="Arial"/>
                <w:sz w:val="16"/>
                <w:szCs w:val="16"/>
              </w:rPr>
            </w:pPr>
          </w:p>
        </w:tc>
        <w:tc>
          <w:tcPr>
            <w:tcW w:w="3544" w:type="dxa"/>
            <w:tcBorders>
              <w:bottom w:val="single" w:sz="6" w:space="0" w:color="B1B4B6"/>
            </w:tcBorders>
            <w:shd w:val="clear" w:color="auto" w:fill="FFFFFF"/>
            <w:tcMar>
              <w:top w:w="150" w:type="dxa"/>
              <w:left w:w="0" w:type="dxa"/>
              <w:bottom w:w="150" w:type="dxa"/>
              <w:right w:w="300" w:type="dxa"/>
            </w:tcMar>
          </w:tcPr>
          <w:p w14:paraId="60708AE5" w14:textId="77777777" w:rsidR="003425F7" w:rsidRPr="00B518A0" w:rsidRDefault="003425F7" w:rsidP="00B518A0">
            <w:pPr>
              <w:rPr>
                <w:rFonts w:asciiTheme="majorHAnsi" w:hAnsiTheme="majorHAnsi" w:cs="Arial"/>
                <w:sz w:val="16"/>
                <w:szCs w:val="16"/>
              </w:rPr>
            </w:pPr>
          </w:p>
        </w:tc>
        <w:tc>
          <w:tcPr>
            <w:tcW w:w="5159" w:type="dxa"/>
            <w:tcBorders>
              <w:bottom w:val="single" w:sz="6" w:space="0" w:color="B1B4B6"/>
            </w:tcBorders>
            <w:shd w:val="clear" w:color="auto" w:fill="FFFFFF"/>
            <w:tcMar>
              <w:top w:w="150" w:type="dxa"/>
              <w:left w:w="0" w:type="dxa"/>
              <w:bottom w:w="150" w:type="dxa"/>
              <w:right w:w="0" w:type="dxa"/>
            </w:tcMar>
          </w:tcPr>
          <w:p w14:paraId="588D6B60" w14:textId="77777777" w:rsidR="003425F7" w:rsidRPr="00B518A0" w:rsidRDefault="003425F7" w:rsidP="00B518A0">
            <w:pPr>
              <w:rPr>
                <w:rFonts w:asciiTheme="majorHAnsi" w:hAnsiTheme="majorHAnsi" w:cs="Arial"/>
                <w:sz w:val="16"/>
                <w:szCs w:val="16"/>
              </w:rPr>
            </w:pPr>
          </w:p>
        </w:tc>
      </w:tr>
      <w:tr w:rsidR="00B518A0" w:rsidRPr="00B518A0" w14:paraId="316F88D3" w14:textId="77777777" w:rsidTr="00B518A0">
        <w:tc>
          <w:tcPr>
            <w:tcW w:w="1985" w:type="dxa"/>
            <w:tcBorders>
              <w:bottom w:val="single" w:sz="6" w:space="0" w:color="B1B4B6"/>
            </w:tcBorders>
            <w:shd w:val="clear" w:color="auto" w:fill="FFFFFF"/>
            <w:tcMar>
              <w:top w:w="150" w:type="dxa"/>
              <w:left w:w="0" w:type="dxa"/>
              <w:bottom w:w="150" w:type="dxa"/>
              <w:right w:w="300" w:type="dxa"/>
            </w:tcMar>
            <w:hideMark/>
          </w:tcPr>
          <w:p w14:paraId="040B4424"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Tonsillitis</w:t>
            </w:r>
          </w:p>
        </w:tc>
        <w:tc>
          <w:tcPr>
            <w:tcW w:w="3544" w:type="dxa"/>
            <w:tcBorders>
              <w:bottom w:val="single" w:sz="6" w:space="0" w:color="B1B4B6"/>
            </w:tcBorders>
            <w:shd w:val="clear" w:color="auto" w:fill="FFFFFF"/>
            <w:tcMar>
              <w:top w:w="150" w:type="dxa"/>
              <w:left w:w="0" w:type="dxa"/>
              <w:bottom w:w="150" w:type="dxa"/>
              <w:right w:w="300" w:type="dxa"/>
            </w:tcMar>
            <w:hideMark/>
          </w:tcPr>
          <w:p w14:paraId="3F41D1B9"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None</w:t>
            </w:r>
          </w:p>
        </w:tc>
        <w:tc>
          <w:tcPr>
            <w:tcW w:w="5159" w:type="dxa"/>
            <w:tcBorders>
              <w:bottom w:val="single" w:sz="6" w:space="0" w:color="B1B4B6"/>
            </w:tcBorders>
            <w:shd w:val="clear" w:color="auto" w:fill="FFFFFF"/>
            <w:tcMar>
              <w:top w:w="150" w:type="dxa"/>
              <w:left w:w="0" w:type="dxa"/>
              <w:bottom w:w="150" w:type="dxa"/>
              <w:right w:w="0" w:type="dxa"/>
            </w:tcMar>
            <w:hideMark/>
          </w:tcPr>
          <w:p w14:paraId="5B178C55" w14:textId="5E215956"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 xml:space="preserve">There are many causes, but most cases are due to viruses and do not </w:t>
            </w:r>
            <w:r>
              <w:rPr>
                <w:rFonts w:asciiTheme="majorHAnsi" w:hAnsiTheme="majorHAnsi" w:cs="Arial"/>
                <w:sz w:val="16"/>
                <w:szCs w:val="16"/>
              </w:rPr>
              <w:t xml:space="preserve">               </w:t>
            </w:r>
            <w:r w:rsidRPr="00B518A0">
              <w:rPr>
                <w:rFonts w:asciiTheme="majorHAnsi" w:hAnsiTheme="majorHAnsi" w:cs="Arial"/>
                <w:sz w:val="16"/>
                <w:szCs w:val="16"/>
              </w:rPr>
              <w:t>need or respond to an antibiotic treatment.</w:t>
            </w:r>
          </w:p>
        </w:tc>
      </w:tr>
      <w:tr w:rsidR="00B518A0" w:rsidRPr="00B518A0" w14:paraId="69D12CC5" w14:textId="77777777" w:rsidTr="00B518A0">
        <w:tc>
          <w:tcPr>
            <w:tcW w:w="1985" w:type="dxa"/>
            <w:tcBorders>
              <w:bottom w:val="single" w:sz="6" w:space="0" w:color="B1B4B6"/>
            </w:tcBorders>
            <w:shd w:val="clear" w:color="auto" w:fill="FFFFFF"/>
            <w:tcMar>
              <w:top w:w="150" w:type="dxa"/>
              <w:left w:w="0" w:type="dxa"/>
              <w:bottom w:w="150" w:type="dxa"/>
              <w:right w:w="300" w:type="dxa"/>
            </w:tcMar>
            <w:hideMark/>
          </w:tcPr>
          <w:p w14:paraId="1EE0C85E"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Tuberculosis* (TB)</w:t>
            </w:r>
          </w:p>
        </w:tc>
        <w:tc>
          <w:tcPr>
            <w:tcW w:w="3544" w:type="dxa"/>
            <w:tcBorders>
              <w:bottom w:val="single" w:sz="6" w:space="0" w:color="B1B4B6"/>
            </w:tcBorders>
            <w:shd w:val="clear" w:color="auto" w:fill="FFFFFF"/>
            <w:tcMar>
              <w:top w:w="150" w:type="dxa"/>
              <w:left w:w="0" w:type="dxa"/>
              <w:bottom w:w="150" w:type="dxa"/>
              <w:right w:w="300" w:type="dxa"/>
            </w:tcMar>
            <w:hideMark/>
          </w:tcPr>
          <w:p w14:paraId="30737D17"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Until at least 2 weeks after the start of effective antibiotic treatment (if pulmonary TB.</w:t>
            </w:r>
            <w:r w:rsidRPr="00B518A0">
              <w:rPr>
                <w:rFonts w:asciiTheme="majorHAnsi" w:hAnsiTheme="majorHAnsi" w:cs="Arial"/>
                <w:sz w:val="16"/>
                <w:szCs w:val="16"/>
              </w:rPr>
              <w:br/>
            </w:r>
            <w:r w:rsidRPr="00B518A0">
              <w:rPr>
                <w:rFonts w:asciiTheme="majorHAnsi" w:hAnsiTheme="majorHAnsi" w:cs="Arial"/>
                <w:sz w:val="16"/>
                <w:szCs w:val="16"/>
              </w:rPr>
              <w:br/>
              <w:t>Exclusion not required for non-pulmonary or latent TB infection.</w:t>
            </w:r>
            <w:r w:rsidRPr="00B518A0">
              <w:rPr>
                <w:rFonts w:asciiTheme="majorHAnsi" w:hAnsiTheme="majorHAnsi" w:cs="Arial"/>
                <w:sz w:val="16"/>
                <w:szCs w:val="16"/>
              </w:rPr>
              <w:br/>
            </w:r>
            <w:r w:rsidRPr="00B518A0">
              <w:rPr>
                <w:rFonts w:asciiTheme="majorHAnsi" w:hAnsiTheme="majorHAnsi" w:cs="Arial"/>
                <w:sz w:val="16"/>
                <w:szCs w:val="16"/>
              </w:rPr>
              <w:br/>
              <w:t>Always contact your </w:t>
            </w:r>
            <w:hyperlink r:id="rId21" w:history="1">
              <w:r w:rsidRPr="00B518A0">
                <w:rPr>
                  <w:rStyle w:val="Hyperlink"/>
                  <w:rFonts w:asciiTheme="majorHAnsi" w:hAnsiTheme="majorHAnsi" w:cs="Arial"/>
                  <w:sz w:val="16"/>
                  <w:szCs w:val="16"/>
                </w:rPr>
                <w:t>local UKHSA health protection team</w:t>
              </w:r>
            </w:hyperlink>
            <w:r w:rsidRPr="00B518A0">
              <w:rPr>
                <w:rFonts w:asciiTheme="majorHAnsi" w:hAnsiTheme="majorHAnsi" w:cs="Arial"/>
                <w:sz w:val="16"/>
                <w:szCs w:val="16"/>
              </w:rPr>
              <w:t> before disseminating information to staff, parents and carers, and students.</w:t>
            </w:r>
          </w:p>
        </w:tc>
        <w:tc>
          <w:tcPr>
            <w:tcW w:w="5159" w:type="dxa"/>
            <w:tcBorders>
              <w:bottom w:val="single" w:sz="6" w:space="0" w:color="B1B4B6"/>
            </w:tcBorders>
            <w:shd w:val="clear" w:color="auto" w:fill="FFFFFF"/>
            <w:tcMar>
              <w:top w:w="150" w:type="dxa"/>
              <w:left w:w="0" w:type="dxa"/>
              <w:bottom w:w="150" w:type="dxa"/>
              <w:right w:w="0" w:type="dxa"/>
            </w:tcMar>
            <w:hideMark/>
          </w:tcPr>
          <w:p w14:paraId="5992A502" w14:textId="487DBE1A"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 xml:space="preserve">Only pulmonary (lung) TB is infectious to others, needs close, prolonged </w:t>
            </w:r>
            <w:r>
              <w:rPr>
                <w:rFonts w:asciiTheme="majorHAnsi" w:hAnsiTheme="majorHAnsi" w:cs="Arial"/>
                <w:sz w:val="16"/>
                <w:szCs w:val="16"/>
              </w:rPr>
              <w:t xml:space="preserve">    </w:t>
            </w:r>
            <w:r w:rsidRPr="00B518A0">
              <w:rPr>
                <w:rFonts w:asciiTheme="majorHAnsi" w:hAnsiTheme="majorHAnsi" w:cs="Arial"/>
                <w:sz w:val="16"/>
                <w:szCs w:val="16"/>
              </w:rPr>
              <w:t>contact to spread.</w:t>
            </w:r>
            <w:r w:rsidRPr="00B518A0">
              <w:rPr>
                <w:rFonts w:asciiTheme="majorHAnsi" w:hAnsiTheme="majorHAnsi" w:cs="Arial"/>
                <w:sz w:val="16"/>
                <w:szCs w:val="16"/>
              </w:rPr>
              <w:br/>
            </w:r>
            <w:r w:rsidRPr="00B518A0">
              <w:rPr>
                <w:rFonts w:asciiTheme="majorHAnsi" w:hAnsiTheme="majorHAnsi" w:cs="Arial"/>
                <w:sz w:val="16"/>
                <w:szCs w:val="16"/>
              </w:rPr>
              <w:br/>
              <w:t>Your </w:t>
            </w:r>
            <w:hyperlink r:id="rId22" w:history="1">
              <w:r w:rsidRPr="00B518A0">
                <w:rPr>
                  <w:rStyle w:val="Hyperlink"/>
                  <w:rFonts w:asciiTheme="majorHAnsi" w:hAnsiTheme="majorHAnsi" w:cs="Arial"/>
                  <w:sz w:val="16"/>
                  <w:szCs w:val="16"/>
                </w:rPr>
                <w:t>local UKHSA health protection team</w:t>
              </w:r>
            </w:hyperlink>
            <w:r w:rsidRPr="00B518A0">
              <w:rPr>
                <w:rFonts w:asciiTheme="majorHAnsi" w:hAnsiTheme="majorHAnsi" w:cs="Arial"/>
                <w:sz w:val="16"/>
                <w:szCs w:val="16"/>
              </w:rPr>
              <w:t> will organise any contact tracing.</w:t>
            </w:r>
          </w:p>
        </w:tc>
      </w:tr>
      <w:tr w:rsidR="00B518A0" w:rsidRPr="00B518A0" w14:paraId="4AF1F881" w14:textId="77777777" w:rsidTr="00B518A0">
        <w:tc>
          <w:tcPr>
            <w:tcW w:w="1985" w:type="dxa"/>
            <w:tcBorders>
              <w:bottom w:val="single" w:sz="6" w:space="0" w:color="B1B4B6"/>
            </w:tcBorders>
            <w:shd w:val="clear" w:color="auto" w:fill="FFFFFF"/>
            <w:tcMar>
              <w:top w:w="150" w:type="dxa"/>
              <w:left w:w="0" w:type="dxa"/>
              <w:bottom w:w="150" w:type="dxa"/>
              <w:right w:w="300" w:type="dxa"/>
            </w:tcMar>
            <w:hideMark/>
          </w:tcPr>
          <w:p w14:paraId="18AF62C0"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Warts and verrucae</w:t>
            </w:r>
          </w:p>
        </w:tc>
        <w:tc>
          <w:tcPr>
            <w:tcW w:w="3544" w:type="dxa"/>
            <w:tcBorders>
              <w:bottom w:val="single" w:sz="6" w:space="0" w:color="B1B4B6"/>
            </w:tcBorders>
            <w:shd w:val="clear" w:color="auto" w:fill="FFFFFF"/>
            <w:tcMar>
              <w:top w:w="150" w:type="dxa"/>
              <w:left w:w="0" w:type="dxa"/>
              <w:bottom w:w="150" w:type="dxa"/>
              <w:right w:w="300" w:type="dxa"/>
            </w:tcMar>
            <w:hideMark/>
          </w:tcPr>
          <w:p w14:paraId="1B6C29C8"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None</w:t>
            </w:r>
          </w:p>
        </w:tc>
        <w:tc>
          <w:tcPr>
            <w:tcW w:w="5159" w:type="dxa"/>
            <w:tcBorders>
              <w:bottom w:val="single" w:sz="6" w:space="0" w:color="B1B4B6"/>
            </w:tcBorders>
            <w:shd w:val="clear" w:color="auto" w:fill="FFFFFF"/>
            <w:tcMar>
              <w:top w:w="150" w:type="dxa"/>
              <w:left w:w="0" w:type="dxa"/>
              <w:bottom w:w="150" w:type="dxa"/>
              <w:right w:w="0" w:type="dxa"/>
            </w:tcMar>
            <w:hideMark/>
          </w:tcPr>
          <w:p w14:paraId="1F8BA2D1"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Verrucae should be covered in swimming pools, gyms and changing rooms.</w:t>
            </w:r>
          </w:p>
        </w:tc>
      </w:tr>
      <w:tr w:rsidR="00B518A0" w:rsidRPr="00B518A0" w14:paraId="1587F767" w14:textId="77777777" w:rsidTr="00B518A0">
        <w:tc>
          <w:tcPr>
            <w:tcW w:w="1985" w:type="dxa"/>
            <w:tcBorders>
              <w:bottom w:val="single" w:sz="6" w:space="0" w:color="B1B4B6"/>
            </w:tcBorders>
            <w:shd w:val="clear" w:color="auto" w:fill="FFFFFF"/>
            <w:tcMar>
              <w:top w:w="150" w:type="dxa"/>
              <w:left w:w="0" w:type="dxa"/>
              <w:bottom w:w="150" w:type="dxa"/>
              <w:right w:w="300" w:type="dxa"/>
            </w:tcMar>
            <w:hideMark/>
          </w:tcPr>
          <w:p w14:paraId="3FD738C4"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Whooping cough (pertussis)*</w:t>
            </w:r>
          </w:p>
        </w:tc>
        <w:tc>
          <w:tcPr>
            <w:tcW w:w="3544" w:type="dxa"/>
            <w:tcBorders>
              <w:bottom w:val="single" w:sz="6" w:space="0" w:color="B1B4B6"/>
            </w:tcBorders>
            <w:shd w:val="clear" w:color="auto" w:fill="FFFFFF"/>
            <w:tcMar>
              <w:top w:w="150" w:type="dxa"/>
              <w:left w:w="0" w:type="dxa"/>
              <w:bottom w:w="150" w:type="dxa"/>
              <w:right w:w="300" w:type="dxa"/>
            </w:tcMar>
            <w:hideMark/>
          </w:tcPr>
          <w:p w14:paraId="3EA9911E"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2 days from starting antibiotic treatment, or 14 days from onset of coughing if no antibiotics and feel well enough to return.</w:t>
            </w:r>
          </w:p>
        </w:tc>
        <w:tc>
          <w:tcPr>
            <w:tcW w:w="5159" w:type="dxa"/>
            <w:tcBorders>
              <w:bottom w:val="single" w:sz="6" w:space="0" w:color="B1B4B6"/>
            </w:tcBorders>
            <w:shd w:val="clear" w:color="auto" w:fill="FFFFFF"/>
            <w:tcMar>
              <w:top w:w="150" w:type="dxa"/>
              <w:left w:w="0" w:type="dxa"/>
              <w:bottom w:w="150" w:type="dxa"/>
              <w:right w:w="0" w:type="dxa"/>
            </w:tcMar>
            <w:hideMark/>
          </w:tcPr>
          <w:p w14:paraId="0A31048B" w14:textId="77777777" w:rsidR="00B518A0" w:rsidRPr="00B518A0" w:rsidRDefault="00B518A0" w:rsidP="00B518A0">
            <w:pPr>
              <w:rPr>
                <w:rFonts w:asciiTheme="majorHAnsi" w:hAnsiTheme="majorHAnsi" w:cs="Arial"/>
                <w:sz w:val="16"/>
                <w:szCs w:val="16"/>
              </w:rPr>
            </w:pPr>
            <w:r w:rsidRPr="00B518A0">
              <w:rPr>
                <w:rFonts w:asciiTheme="majorHAnsi" w:hAnsiTheme="majorHAnsi" w:cs="Arial"/>
                <w:sz w:val="16"/>
                <w:szCs w:val="16"/>
              </w:rPr>
              <w:t>Preventable by vaccination.</w:t>
            </w:r>
            <w:r w:rsidRPr="00B518A0">
              <w:rPr>
                <w:rFonts w:asciiTheme="majorHAnsi" w:hAnsiTheme="majorHAnsi" w:cs="Arial"/>
                <w:sz w:val="16"/>
                <w:szCs w:val="16"/>
              </w:rPr>
              <w:br/>
            </w:r>
            <w:r w:rsidRPr="00B518A0">
              <w:rPr>
                <w:rFonts w:asciiTheme="majorHAnsi" w:hAnsiTheme="majorHAnsi" w:cs="Arial"/>
                <w:sz w:val="16"/>
                <w:szCs w:val="16"/>
              </w:rPr>
              <w:br/>
              <w:t>After treatment, non-infectious coughing may continue for many weeks. Your </w:t>
            </w:r>
            <w:hyperlink r:id="rId23" w:history="1">
              <w:r w:rsidRPr="00B518A0">
                <w:rPr>
                  <w:rStyle w:val="Hyperlink"/>
                  <w:rFonts w:asciiTheme="majorHAnsi" w:hAnsiTheme="majorHAnsi" w:cs="Arial"/>
                  <w:sz w:val="16"/>
                  <w:szCs w:val="16"/>
                </w:rPr>
                <w:t>local UKHSA health protection team</w:t>
              </w:r>
            </w:hyperlink>
            <w:r w:rsidRPr="00B518A0">
              <w:rPr>
                <w:rFonts w:asciiTheme="majorHAnsi" w:hAnsiTheme="majorHAnsi" w:cs="Arial"/>
                <w:sz w:val="16"/>
                <w:szCs w:val="16"/>
              </w:rPr>
              <w:t> will organise any contact tracing.</w:t>
            </w:r>
          </w:p>
        </w:tc>
      </w:tr>
    </w:tbl>
    <w:p w14:paraId="7921470D" w14:textId="77777777" w:rsidR="00B518A0" w:rsidRPr="00B518A0" w:rsidRDefault="00B518A0" w:rsidP="00404656">
      <w:pPr>
        <w:rPr>
          <w:rFonts w:asciiTheme="majorHAnsi" w:hAnsiTheme="majorHAnsi" w:cs="Arial"/>
          <w:sz w:val="16"/>
          <w:szCs w:val="16"/>
        </w:rPr>
      </w:pPr>
    </w:p>
    <w:p w14:paraId="67505758" w14:textId="77777777" w:rsidR="00404656" w:rsidRPr="00B518A0" w:rsidRDefault="00404656" w:rsidP="00404656">
      <w:pPr>
        <w:rPr>
          <w:sz w:val="16"/>
          <w:szCs w:val="16"/>
        </w:rPr>
      </w:pPr>
    </w:p>
    <w:p w14:paraId="2A96903B" w14:textId="77777777" w:rsidR="00404656" w:rsidRPr="00404656" w:rsidRDefault="00404656" w:rsidP="00404656">
      <w:pPr>
        <w:rPr>
          <w:sz w:val="16"/>
          <w:szCs w:val="16"/>
        </w:rPr>
      </w:pPr>
    </w:p>
    <w:p w14:paraId="4E86CE20" w14:textId="77777777" w:rsidR="00404656" w:rsidRPr="00B518A0" w:rsidRDefault="00404656">
      <w:pPr>
        <w:rPr>
          <w:sz w:val="16"/>
          <w:szCs w:val="16"/>
        </w:rPr>
      </w:pPr>
    </w:p>
    <w:sectPr w:rsidR="00404656" w:rsidRPr="00B518A0" w:rsidSect="003425F7">
      <w:headerReference w:type="even" r:id="rId24"/>
      <w:headerReference w:type="default" r:id="rId25"/>
      <w:footerReference w:type="even" r:id="rId26"/>
      <w:footerReference w:type="default" r:id="rId27"/>
      <w:headerReference w:type="first" r:id="rId28"/>
      <w:footerReference w:type="first" r:id="rId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B2385" w14:textId="77777777" w:rsidR="00B427C5" w:rsidRDefault="00B427C5" w:rsidP="00604FDE">
      <w:pPr>
        <w:spacing w:after="0" w:line="240" w:lineRule="auto"/>
      </w:pPr>
      <w:r>
        <w:separator/>
      </w:r>
    </w:p>
  </w:endnote>
  <w:endnote w:type="continuationSeparator" w:id="0">
    <w:p w14:paraId="4D587F1A" w14:textId="77777777" w:rsidR="00B427C5" w:rsidRDefault="00B427C5" w:rsidP="00604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65831" w14:textId="77777777" w:rsidR="005478D5" w:rsidRDefault="0054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6E8FE" w14:textId="77777777" w:rsidR="00604FDE" w:rsidRDefault="00604FDE">
    <w:pPr>
      <w:pStyle w:val="Footer"/>
    </w:pPr>
  </w:p>
  <w:p w14:paraId="05706DE1" w14:textId="59E678C3" w:rsidR="004C43A6" w:rsidRDefault="004C43A6">
    <w:pPr>
      <w:pStyle w:val="Footer"/>
    </w:pPr>
    <w:r>
      <w:t xml:space="preserve">Chalke Valley Playschool                                                                                                           </w:t>
    </w:r>
    <w:r w:rsidR="005478D5">
      <w:t>S</w:t>
    </w:r>
    <w:r>
      <w:t xml:space="preserve">ickness </w:t>
    </w:r>
    <w:r w:rsidR="005478D5">
      <w:t>P</w:t>
    </w:r>
    <w:r>
      <w:t xml:space="preserve">olicy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4A04C" w14:textId="77777777" w:rsidR="005478D5" w:rsidRDefault="00547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A4871" w14:textId="77777777" w:rsidR="00B427C5" w:rsidRDefault="00B427C5" w:rsidP="00604FDE">
      <w:pPr>
        <w:spacing w:after="0" w:line="240" w:lineRule="auto"/>
      </w:pPr>
      <w:r>
        <w:separator/>
      </w:r>
    </w:p>
  </w:footnote>
  <w:footnote w:type="continuationSeparator" w:id="0">
    <w:p w14:paraId="590F2015" w14:textId="77777777" w:rsidR="00B427C5" w:rsidRDefault="00B427C5" w:rsidP="00604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C3E1D" w14:textId="77777777" w:rsidR="005478D5" w:rsidRDefault="00547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8A9CD" w14:textId="3F8BFA94" w:rsidR="00604FDE" w:rsidRDefault="004C43A6">
    <w:pPr>
      <w:pStyle w:val="Header"/>
    </w:pPr>
    <w:r>
      <w:rPr>
        <w:noProof/>
      </w:rPr>
      <w:drawing>
        <wp:anchor distT="0" distB="0" distL="114300" distR="114300" simplePos="0" relativeHeight="251657216" behindDoc="0" locked="0" layoutInCell="1" allowOverlap="1" wp14:anchorId="011AFCAD" wp14:editId="13371ED3">
          <wp:simplePos x="0" y="0"/>
          <wp:positionH relativeFrom="column">
            <wp:posOffset>5397500</wp:posOffset>
          </wp:positionH>
          <wp:positionV relativeFrom="paragraph">
            <wp:posOffset>-227965</wp:posOffset>
          </wp:positionV>
          <wp:extent cx="1485900" cy="1390015"/>
          <wp:effectExtent l="0" t="0" r="0" b="635"/>
          <wp:wrapThrough wrapText="bothSides">
            <wp:wrapPolygon edited="0">
              <wp:start x="0" y="0"/>
              <wp:lineTo x="0" y="21314"/>
              <wp:lineTo x="21323" y="21314"/>
              <wp:lineTo x="21323" y="0"/>
              <wp:lineTo x="0" y="0"/>
            </wp:wrapPolygon>
          </wp:wrapThrough>
          <wp:docPr id="525264318" name="Picture 1" descr="A logo of a green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264318" name="Picture 1" descr="A logo of a green fiel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5900" cy="1390015"/>
                  </a:xfrm>
                  <a:prstGeom prst="rect">
                    <a:avLst/>
                  </a:prstGeom>
                </pic:spPr>
              </pic:pic>
            </a:graphicData>
          </a:graphic>
          <wp14:sizeRelH relativeFrom="margin">
            <wp14:pctWidth>0</wp14:pctWidth>
          </wp14:sizeRelH>
          <wp14:sizeRelV relativeFrom="margin">
            <wp14:pctHeight>0</wp14:pctHeight>
          </wp14:sizeRelV>
        </wp:anchor>
      </w:drawing>
    </w:r>
  </w:p>
  <w:p w14:paraId="6EF37212" w14:textId="6B087C0D" w:rsidR="00604FDE" w:rsidRDefault="00604F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AA33B" w14:textId="77777777" w:rsidR="005478D5" w:rsidRDefault="0054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E497C"/>
    <w:multiLevelType w:val="hybridMultilevel"/>
    <w:tmpl w:val="CFC42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766458"/>
    <w:multiLevelType w:val="hybridMultilevel"/>
    <w:tmpl w:val="4A5C02D2"/>
    <w:lvl w:ilvl="0" w:tplc="0E92653C">
      <w:numFmt w:val="bullet"/>
      <w:lvlText w:val=""/>
      <w:lvlJc w:val="left"/>
      <w:pPr>
        <w:ind w:left="720" w:hanging="360"/>
      </w:pPr>
      <w:rPr>
        <w:rFonts w:ascii="Aptos Display" w:eastAsiaTheme="minorHAnsi" w:hAnsi="Aptos Displa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660634">
    <w:abstractNumId w:val="0"/>
  </w:num>
  <w:num w:numId="2" w16cid:durableId="1234392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56"/>
    <w:rsid w:val="003425F7"/>
    <w:rsid w:val="00404656"/>
    <w:rsid w:val="004C43A6"/>
    <w:rsid w:val="005478D5"/>
    <w:rsid w:val="00604FDE"/>
    <w:rsid w:val="008228EE"/>
    <w:rsid w:val="00B427C5"/>
    <w:rsid w:val="00B518A0"/>
    <w:rsid w:val="00CB077F"/>
    <w:rsid w:val="00D23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DD150"/>
  <w15:chartTrackingRefBased/>
  <w15:docId w15:val="{8D6786AE-C403-447B-AFC6-839C3EE8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6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46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46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46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46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46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46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46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46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6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46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46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46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46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46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6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6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656"/>
    <w:rPr>
      <w:rFonts w:eastAsiaTheme="majorEastAsia" w:cstheme="majorBidi"/>
      <w:color w:val="272727" w:themeColor="text1" w:themeTint="D8"/>
    </w:rPr>
  </w:style>
  <w:style w:type="paragraph" w:styleId="Title">
    <w:name w:val="Title"/>
    <w:basedOn w:val="Normal"/>
    <w:next w:val="Normal"/>
    <w:link w:val="TitleChar"/>
    <w:uiPriority w:val="10"/>
    <w:qFormat/>
    <w:rsid w:val="004046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6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6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46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656"/>
    <w:pPr>
      <w:spacing w:before="160"/>
      <w:jc w:val="center"/>
    </w:pPr>
    <w:rPr>
      <w:i/>
      <w:iCs/>
      <w:color w:val="404040" w:themeColor="text1" w:themeTint="BF"/>
    </w:rPr>
  </w:style>
  <w:style w:type="character" w:customStyle="1" w:styleId="QuoteChar">
    <w:name w:val="Quote Char"/>
    <w:basedOn w:val="DefaultParagraphFont"/>
    <w:link w:val="Quote"/>
    <w:uiPriority w:val="29"/>
    <w:rsid w:val="00404656"/>
    <w:rPr>
      <w:i/>
      <w:iCs/>
      <w:color w:val="404040" w:themeColor="text1" w:themeTint="BF"/>
    </w:rPr>
  </w:style>
  <w:style w:type="paragraph" w:styleId="ListParagraph">
    <w:name w:val="List Paragraph"/>
    <w:basedOn w:val="Normal"/>
    <w:uiPriority w:val="34"/>
    <w:qFormat/>
    <w:rsid w:val="00404656"/>
    <w:pPr>
      <w:ind w:left="720"/>
      <w:contextualSpacing/>
    </w:pPr>
  </w:style>
  <w:style w:type="character" w:styleId="IntenseEmphasis">
    <w:name w:val="Intense Emphasis"/>
    <w:basedOn w:val="DefaultParagraphFont"/>
    <w:uiPriority w:val="21"/>
    <w:qFormat/>
    <w:rsid w:val="00404656"/>
    <w:rPr>
      <w:i/>
      <w:iCs/>
      <w:color w:val="0F4761" w:themeColor="accent1" w:themeShade="BF"/>
    </w:rPr>
  </w:style>
  <w:style w:type="paragraph" w:styleId="IntenseQuote">
    <w:name w:val="Intense Quote"/>
    <w:basedOn w:val="Normal"/>
    <w:next w:val="Normal"/>
    <w:link w:val="IntenseQuoteChar"/>
    <w:uiPriority w:val="30"/>
    <w:qFormat/>
    <w:rsid w:val="004046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4656"/>
    <w:rPr>
      <w:i/>
      <w:iCs/>
      <w:color w:val="0F4761" w:themeColor="accent1" w:themeShade="BF"/>
    </w:rPr>
  </w:style>
  <w:style w:type="character" w:styleId="IntenseReference">
    <w:name w:val="Intense Reference"/>
    <w:basedOn w:val="DefaultParagraphFont"/>
    <w:uiPriority w:val="32"/>
    <w:qFormat/>
    <w:rsid w:val="00404656"/>
    <w:rPr>
      <w:b/>
      <w:bCs/>
      <w:smallCaps/>
      <w:color w:val="0F4761" w:themeColor="accent1" w:themeShade="BF"/>
      <w:spacing w:val="5"/>
    </w:rPr>
  </w:style>
  <w:style w:type="character" w:styleId="Hyperlink">
    <w:name w:val="Hyperlink"/>
    <w:basedOn w:val="DefaultParagraphFont"/>
    <w:uiPriority w:val="99"/>
    <w:unhideWhenUsed/>
    <w:rsid w:val="00B518A0"/>
    <w:rPr>
      <w:color w:val="467886" w:themeColor="hyperlink"/>
      <w:u w:val="single"/>
    </w:rPr>
  </w:style>
  <w:style w:type="character" w:styleId="UnresolvedMention">
    <w:name w:val="Unresolved Mention"/>
    <w:basedOn w:val="DefaultParagraphFont"/>
    <w:uiPriority w:val="99"/>
    <w:semiHidden/>
    <w:unhideWhenUsed/>
    <w:rsid w:val="00B518A0"/>
    <w:rPr>
      <w:color w:val="605E5C"/>
      <w:shd w:val="clear" w:color="auto" w:fill="E1DFDD"/>
    </w:rPr>
  </w:style>
  <w:style w:type="paragraph" w:styleId="Header">
    <w:name w:val="header"/>
    <w:basedOn w:val="Normal"/>
    <w:link w:val="HeaderChar"/>
    <w:uiPriority w:val="99"/>
    <w:unhideWhenUsed/>
    <w:rsid w:val="00604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FDE"/>
  </w:style>
  <w:style w:type="paragraph" w:styleId="Footer">
    <w:name w:val="footer"/>
    <w:basedOn w:val="Normal"/>
    <w:link w:val="FooterChar"/>
    <w:uiPriority w:val="99"/>
    <w:unhideWhenUsed/>
    <w:rsid w:val="00604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85097">
      <w:bodyDiv w:val="1"/>
      <w:marLeft w:val="0"/>
      <w:marRight w:val="0"/>
      <w:marTop w:val="0"/>
      <w:marBottom w:val="0"/>
      <w:divBdr>
        <w:top w:val="none" w:sz="0" w:space="0" w:color="auto"/>
        <w:left w:val="none" w:sz="0" w:space="0" w:color="auto"/>
        <w:bottom w:val="none" w:sz="0" w:space="0" w:color="auto"/>
        <w:right w:val="none" w:sz="0" w:space="0" w:color="auto"/>
      </w:divBdr>
    </w:div>
    <w:div w:id="622881472">
      <w:bodyDiv w:val="1"/>
      <w:marLeft w:val="0"/>
      <w:marRight w:val="0"/>
      <w:marTop w:val="0"/>
      <w:marBottom w:val="0"/>
      <w:divBdr>
        <w:top w:val="none" w:sz="0" w:space="0" w:color="auto"/>
        <w:left w:val="none" w:sz="0" w:space="0" w:color="auto"/>
        <w:bottom w:val="none" w:sz="0" w:space="0" w:color="auto"/>
        <w:right w:val="none" w:sz="0" w:space="0" w:color="auto"/>
      </w:divBdr>
    </w:div>
    <w:div w:id="953243849">
      <w:bodyDiv w:val="1"/>
      <w:marLeft w:val="0"/>
      <w:marRight w:val="0"/>
      <w:marTop w:val="0"/>
      <w:marBottom w:val="0"/>
      <w:divBdr>
        <w:top w:val="none" w:sz="0" w:space="0" w:color="auto"/>
        <w:left w:val="none" w:sz="0" w:space="0" w:color="auto"/>
        <w:bottom w:val="none" w:sz="0" w:space="0" w:color="auto"/>
        <w:right w:val="none" w:sz="0" w:space="0" w:color="auto"/>
      </w:divBdr>
    </w:div>
    <w:div w:id="1031996341">
      <w:bodyDiv w:val="1"/>
      <w:marLeft w:val="0"/>
      <w:marRight w:val="0"/>
      <w:marTop w:val="0"/>
      <w:marBottom w:val="0"/>
      <w:divBdr>
        <w:top w:val="none" w:sz="0" w:space="0" w:color="auto"/>
        <w:left w:val="none" w:sz="0" w:space="0" w:color="auto"/>
        <w:bottom w:val="none" w:sz="0" w:space="0" w:color="auto"/>
        <w:right w:val="none" w:sz="0" w:space="0" w:color="auto"/>
      </w:divBdr>
    </w:div>
    <w:div w:id="1414933183">
      <w:bodyDiv w:val="1"/>
      <w:marLeft w:val="0"/>
      <w:marRight w:val="0"/>
      <w:marTop w:val="0"/>
      <w:marBottom w:val="0"/>
      <w:divBdr>
        <w:top w:val="none" w:sz="0" w:space="0" w:color="auto"/>
        <w:left w:val="none" w:sz="0" w:space="0" w:color="auto"/>
        <w:bottom w:val="none" w:sz="0" w:space="0" w:color="auto"/>
        <w:right w:val="none" w:sz="0" w:space="0" w:color="auto"/>
      </w:divBdr>
    </w:div>
    <w:div w:id="1536650694">
      <w:bodyDiv w:val="1"/>
      <w:marLeft w:val="0"/>
      <w:marRight w:val="0"/>
      <w:marTop w:val="0"/>
      <w:marBottom w:val="0"/>
      <w:divBdr>
        <w:top w:val="none" w:sz="0" w:space="0" w:color="auto"/>
        <w:left w:val="none" w:sz="0" w:space="0" w:color="auto"/>
        <w:bottom w:val="none" w:sz="0" w:space="0" w:color="auto"/>
        <w:right w:val="none" w:sz="0" w:space="0" w:color="auto"/>
      </w:divBdr>
    </w:div>
    <w:div w:id="1658847541">
      <w:bodyDiv w:val="1"/>
      <w:marLeft w:val="0"/>
      <w:marRight w:val="0"/>
      <w:marTop w:val="0"/>
      <w:marBottom w:val="0"/>
      <w:divBdr>
        <w:top w:val="none" w:sz="0" w:space="0" w:color="auto"/>
        <w:left w:val="none" w:sz="0" w:space="0" w:color="auto"/>
        <w:bottom w:val="none" w:sz="0" w:space="0" w:color="auto"/>
        <w:right w:val="none" w:sz="0" w:space="0" w:color="auto"/>
      </w:divBdr>
    </w:div>
    <w:div w:id="209866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health-protection-in-schools-and-other-childcare-facilities/managing-outbreaks-and-incidents" TargetMode="External"/><Relationship Id="rId13" Type="http://schemas.openxmlformats.org/officeDocument/2006/relationships/hyperlink" Target="https://www.gov.uk/health-protection-team" TargetMode="External"/><Relationship Id="rId18" Type="http://schemas.openxmlformats.org/officeDocument/2006/relationships/hyperlink" Target="https://www.gov.uk/health-protection-tea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gov.uk/health-protection-team" TargetMode="External"/><Relationship Id="rId7" Type="http://schemas.openxmlformats.org/officeDocument/2006/relationships/hyperlink" Target="https://www.gov.uk/health-protection-team" TargetMode="External"/><Relationship Id="rId12" Type="http://schemas.openxmlformats.org/officeDocument/2006/relationships/hyperlink" Target="https://www.gov.uk/government/publications/health-protection-in-schools-and-other-childcare-facilities/managing-outbreaks-and-incidents" TargetMode="External"/><Relationship Id="rId17" Type="http://schemas.openxmlformats.org/officeDocument/2006/relationships/hyperlink" Target="https://www.gov.uk/government/collections/monkeypox-guidance"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gov.uk/health-protection-team" TargetMode="External"/><Relationship Id="rId20" Type="http://schemas.openxmlformats.org/officeDocument/2006/relationships/hyperlink" Target="https://www.gov.uk/health-protection-team"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health-protection-tea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ov.uk/health-protection-team" TargetMode="External"/><Relationship Id="rId23" Type="http://schemas.openxmlformats.org/officeDocument/2006/relationships/hyperlink" Target="https://www.gov.uk/health-protection-team" TargetMode="External"/><Relationship Id="rId28" Type="http://schemas.openxmlformats.org/officeDocument/2006/relationships/header" Target="header3.xml"/><Relationship Id="rId10" Type="http://schemas.openxmlformats.org/officeDocument/2006/relationships/hyperlink" Target="https://www.gov.uk/health-protection-team" TargetMode="External"/><Relationship Id="rId19" Type="http://schemas.openxmlformats.org/officeDocument/2006/relationships/hyperlink" Target="https://www.gov.uk/health-protection-tea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health-protection-team" TargetMode="External"/><Relationship Id="rId14" Type="http://schemas.openxmlformats.org/officeDocument/2006/relationships/hyperlink" Target="https://www.gov.uk/health-protection-team" TargetMode="External"/><Relationship Id="rId22" Type="http://schemas.openxmlformats.org/officeDocument/2006/relationships/hyperlink" Target="https://www.gov.uk/health-protection-tea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Pearce</dc:creator>
  <cp:keywords/>
  <dc:description/>
  <cp:lastModifiedBy>Juliet Pearce</cp:lastModifiedBy>
  <cp:revision>3</cp:revision>
  <cp:lastPrinted>2024-11-20T14:54:00Z</cp:lastPrinted>
  <dcterms:created xsi:type="dcterms:W3CDTF">2024-11-20T11:50:00Z</dcterms:created>
  <dcterms:modified xsi:type="dcterms:W3CDTF">2024-11-20T14:55:00Z</dcterms:modified>
</cp:coreProperties>
</file>